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 w:tblpY="-49"/>
        <w:tblW w:w="10186" w:type="dxa"/>
        <w:tblLayout w:type="fixed"/>
        <w:tblLook w:val="04A0" w:firstRow="1" w:lastRow="0" w:firstColumn="1" w:lastColumn="0" w:noHBand="0" w:noVBand="1"/>
      </w:tblPr>
      <w:tblGrid>
        <w:gridCol w:w="567"/>
        <w:gridCol w:w="1843"/>
        <w:gridCol w:w="284"/>
        <w:gridCol w:w="1650"/>
        <w:gridCol w:w="334"/>
        <w:gridCol w:w="851"/>
        <w:gridCol w:w="4657"/>
      </w:tblGrid>
      <w:tr w:rsidR="00B87103" w:rsidRPr="005A03ED" w:rsidTr="00BF73C3">
        <w:trPr>
          <w:trHeight w:val="300"/>
        </w:trPr>
        <w:tc>
          <w:tcPr>
            <w:tcW w:w="4344" w:type="dxa"/>
            <w:gridSpan w:val="4"/>
          </w:tcPr>
          <w:p w:rsidR="00D309B7" w:rsidRPr="00E00D68" w:rsidRDefault="00D309B7" w:rsidP="00185C4A">
            <w:pPr>
              <w:spacing w:line="320" w:lineRule="atLeast"/>
              <w:ind w:left="-113" w:right="-113"/>
              <w:jc w:val="center"/>
              <w:rPr>
                <w:b/>
                <w:sz w:val="24"/>
                <w:szCs w:val="24"/>
              </w:rPr>
            </w:pPr>
            <w:r w:rsidRPr="00E00D68">
              <w:rPr>
                <w:b/>
                <w:sz w:val="24"/>
                <w:szCs w:val="24"/>
              </w:rPr>
              <w:t>ПРАВИТЕЛЬСТВО</w:t>
            </w:r>
          </w:p>
          <w:p w:rsidR="00B87103" w:rsidRPr="00225B42" w:rsidRDefault="00D309B7" w:rsidP="00185C4A">
            <w:pPr>
              <w:spacing w:line="320" w:lineRule="atLeast"/>
              <w:ind w:left="-113" w:right="-113"/>
              <w:jc w:val="center"/>
              <w:rPr>
                <w:noProof/>
                <w:sz w:val="24"/>
                <w:szCs w:val="24"/>
              </w:rPr>
            </w:pPr>
            <w:r w:rsidRPr="00E00D68">
              <w:rPr>
                <w:b/>
                <w:sz w:val="24"/>
                <w:szCs w:val="24"/>
              </w:rPr>
              <w:t>СВЕРДЛОВСКОЙ ОБЛАСТИ</w:t>
            </w:r>
          </w:p>
        </w:tc>
        <w:tc>
          <w:tcPr>
            <w:tcW w:w="1185" w:type="dxa"/>
            <w:gridSpan w:val="2"/>
            <w:vMerge w:val="restart"/>
          </w:tcPr>
          <w:p w:rsidR="00B87103" w:rsidRPr="008655A5" w:rsidRDefault="00B87103" w:rsidP="00185C4A">
            <w:pPr>
              <w:pStyle w:val="ConsPlusNonformat"/>
              <w:widowControl/>
              <w:tabs>
                <w:tab w:val="left" w:pos="-2160"/>
                <w:tab w:val="left" w:pos="5040"/>
              </w:tabs>
              <w:ind w:right="4935"/>
              <w:jc w:val="center"/>
              <w:rPr>
                <w:rFonts w:ascii="Times New Roman" w:hAnsi="Times New Roman" w:cs="Times New Roman"/>
                <w:b/>
                <w:sz w:val="28"/>
                <w:szCs w:val="28"/>
                <w:lang w:val="en-US"/>
              </w:rPr>
            </w:pPr>
          </w:p>
        </w:tc>
        <w:tc>
          <w:tcPr>
            <w:tcW w:w="4657" w:type="dxa"/>
            <w:vMerge w:val="restart"/>
            <w:shd w:val="clear" w:color="auto" w:fill="auto"/>
          </w:tcPr>
          <w:tbl>
            <w:tblPr>
              <w:tblpPr w:leftFromText="180" w:rightFromText="180" w:vertAnchor="text" w:horzAnchor="margin" w:tblpX="-10" w:tblpY="-49"/>
              <w:tblW w:w="10186" w:type="dxa"/>
              <w:tblLayout w:type="fixed"/>
              <w:tblLook w:val="04A0" w:firstRow="1" w:lastRow="0" w:firstColumn="1" w:lastColumn="0" w:noHBand="0" w:noVBand="1"/>
            </w:tblPr>
            <w:tblGrid>
              <w:gridCol w:w="10186"/>
            </w:tblGrid>
            <w:tr w:rsidR="004A4F55" w:rsidRPr="00F17ACD" w:rsidTr="0087751F">
              <w:trPr>
                <w:trHeight w:val="300"/>
              </w:trPr>
              <w:tc>
                <w:tcPr>
                  <w:tcW w:w="4657" w:type="dxa"/>
                  <w:shd w:val="clear" w:color="auto" w:fill="auto"/>
                </w:tcPr>
                <w:p w:rsidR="004A4F55" w:rsidRDefault="004A4F55" w:rsidP="004A4F55">
                  <w:pPr>
                    <w:jc w:val="both"/>
                    <w:rPr>
                      <w:sz w:val="26"/>
                      <w:szCs w:val="26"/>
                    </w:rPr>
                  </w:pPr>
                  <w:r w:rsidRPr="004A4F55">
                    <w:rPr>
                      <w:sz w:val="26"/>
                      <w:szCs w:val="26"/>
                    </w:rPr>
                    <w:t>Главам муниципальных образования</w:t>
                  </w:r>
                </w:p>
                <w:p w:rsidR="004A4F55" w:rsidRPr="004A4F55" w:rsidRDefault="004A4F55" w:rsidP="004A4F55">
                  <w:pPr>
                    <w:jc w:val="both"/>
                    <w:rPr>
                      <w:sz w:val="26"/>
                      <w:szCs w:val="26"/>
                    </w:rPr>
                  </w:pPr>
                  <w:r w:rsidRPr="004A4F55">
                    <w:rPr>
                      <w:sz w:val="26"/>
                      <w:szCs w:val="26"/>
                    </w:rPr>
                    <w:t>в Свердловской области</w:t>
                  </w:r>
                </w:p>
              </w:tc>
            </w:tr>
          </w:tbl>
          <w:p w:rsidR="00DB79A6" w:rsidRPr="00F17ACD" w:rsidRDefault="00DB79A6" w:rsidP="00DB79A6">
            <w:pPr>
              <w:jc w:val="both"/>
              <w:rPr>
                <w:sz w:val="24"/>
                <w:szCs w:val="24"/>
              </w:rPr>
            </w:pPr>
          </w:p>
        </w:tc>
      </w:tr>
      <w:tr w:rsidR="00B87103" w:rsidRPr="008E47E9" w:rsidTr="00BF73C3">
        <w:trPr>
          <w:trHeight w:val="1587"/>
        </w:trPr>
        <w:tc>
          <w:tcPr>
            <w:tcW w:w="4344" w:type="dxa"/>
            <w:gridSpan w:val="4"/>
          </w:tcPr>
          <w:p w:rsidR="00A03F1A" w:rsidRPr="00AB4CBE" w:rsidRDefault="00BE7657" w:rsidP="00185C4A">
            <w:pPr>
              <w:ind w:left="-113" w:right="-113"/>
              <w:jc w:val="center"/>
              <w:rPr>
                <w:b/>
                <w:sz w:val="24"/>
                <w:szCs w:val="24"/>
              </w:rPr>
            </w:pPr>
            <w:r>
              <w:rPr>
                <w:b/>
                <w:sz w:val="24"/>
                <w:szCs w:val="24"/>
              </w:rPr>
              <w:t>Министерство энергетики и</w:t>
            </w:r>
          </w:p>
          <w:p w:rsidR="00D309B7" w:rsidRPr="00AB4CBE" w:rsidRDefault="00D309B7" w:rsidP="00185C4A">
            <w:pPr>
              <w:ind w:left="-113" w:right="-113"/>
              <w:jc w:val="center"/>
              <w:rPr>
                <w:b/>
                <w:sz w:val="24"/>
                <w:szCs w:val="24"/>
              </w:rPr>
            </w:pPr>
            <w:r w:rsidRPr="00AB4CBE">
              <w:rPr>
                <w:b/>
                <w:sz w:val="24"/>
                <w:szCs w:val="24"/>
              </w:rPr>
              <w:t>жилищно-коммунального хозяйства Свердловской области</w:t>
            </w:r>
          </w:p>
          <w:p w:rsidR="00D309B7" w:rsidRPr="00C80EA6" w:rsidRDefault="00D309B7" w:rsidP="00185C4A">
            <w:pPr>
              <w:spacing w:line="180" w:lineRule="exact"/>
              <w:ind w:left="34" w:right="-113"/>
              <w:jc w:val="center"/>
              <w:rPr>
                <w:sz w:val="18"/>
                <w:szCs w:val="28"/>
              </w:rPr>
            </w:pPr>
          </w:p>
          <w:p w:rsidR="00D309B7" w:rsidRPr="006008D6" w:rsidRDefault="00D309B7" w:rsidP="00185C4A">
            <w:pPr>
              <w:spacing w:line="200" w:lineRule="exact"/>
              <w:ind w:right="-113"/>
              <w:jc w:val="center"/>
              <w:rPr>
                <w:sz w:val="18"/>
              </w:rPr>
            </w:pPr>
            <w:r w:rsidRPr="006008D6">
              <w:rPr>
                <w:sz w:val="18"/>
              </w:rPr>
              <w:t xml:space="preserve">Октябрьская пл., д. </w:t>
            </w:r>
            <w:smartTag w:uri="urn:schemas-microsoft-com:office:smarttags" w:element="metricconverter">
              <w:smartTagPr>
                <w:attr w:name="ProductID" w:val="1, г"/>
              </w:smartTagPr>
              <w:r w:rsidRPr="006008D6">
                <w:rPr>
                  <w:sz w:val="18"/>
                </w:rPr>
                <w:t>1, г</w:t>
              </w:r>
            </w:smartTag>
            <w:r w:rsidRPr="006008D6">
              <w:rPr>
                <w:sz w:val="18"/>
              </w:rPr>
              <w:t>. Екатеринбург, 620031</w:t>
            </w:r>
          </w:p>
          <w:p w:rsidR="00D309B7" w:rsidRPr="006008D6" w:rsidRDefault="00D309B7" w:rsidP="00185C4A">
            <w:pPr>
              <w:spacing w:line="200" w:lineRule="exact"/>
              <w:ind w:left="34" w:right="-113"/>
              <w:jc w:val="center"/>
              <w:rPr>
                <w:sz w:val="18"/>
              </w:rPr>
            </w:pPr>
            <w:r w:rsidRPr="006008D6">
              <w:rPr>
                <w:sz w:val="18"/>
              </w:rPr>
              <w:t>Телефон: (343) 312-00-12, Факс: (343) 312-00-12 (0)</w:t>
            </w:r>
          </w:p>
          <w:p w:rsidR="00B87103" w:rsidRPr="008E47E9" w:rsidRDefault="00D309B7" w:rsidP="00185C4A">
            <w:pPr>
              <w:spacing w:line="200" w:lineRule="exact"/>
              <w:ind w:right="-113"/>
              <w:jc w:val="center"/>
              <w:rPr>
                <w:sz w:val="18"/>
              </w:rPr>
            </w:pPr>
            <w:r w:rsidRPr="006008D6">
              <w:rPr>
                <w:sz w:val="18"/>
              </w:rPr>
              <w:t>Сайт</w:t>
            </w:r>
            <w:r w:rsidRPr="008E47E9">
              <w:rPr>
                <w:sz w:val="18"/>
              </w:rPr>
              <w:t xml:space="preserve">: </w:t>
            </w:r>
            <w:r w:rsidRPr="006008D6">
              <w:rPr>
                <w:sz w:val="18"/>
                <w:lang w:val="en-US"/>
              </w:rPr>
              <w:t>energy</w:t>
            </w:r>
            <w:r w:rsidRPr="008E47E9">
              <w:rPr>
                <w:sz w:val="18"/>
              </w:rPr>
              <w:t>.</w:t>
            </w:r>
            <w:proofErr w:type="spellStart"/>
            <w:r w:rsidRPr="006008D6">
              <w:rPr>
                <w:sz w:val="18"/>
                <w:lang w:val="en-US"/>
              </w:rPr>
              <w:t>midural</w:t>
            </w:r>
            <w:proofErr w:type="spellEnd"/>
            <w:r w:rsidRPr="008E47E9">
              <w:rPr>
                <w:sz w:val="18"/>
              </w:rPr>
              <w:t>.</w:t>
            </w:r>
            <w:proofErr w:type="spellStart"/>
            <w:r w:rsidRPr="006008D6">
              <w:rPr>
                <w:sz w:val="18"/>
                <w:lang w:val="en-US"/>
              </w:rPr>
              <w:t>ru</w:t>
            </w:r>
            <w:proofErr w:type="spellEnd"/>
            <w:r w:rsidRPr="008E47E9">
              <w:rPr>
                <w:sz w:val="18"/>
              </w:rPr>
              <w:t xml:space="preserve"> </w:t>
            </w:r>
            <w:r w:rsidRPr="006008D6">
              <w:rPr>
                <w:sz w:val="18"/>
                <w:lang w:val="en-US"/>
              </w:rPr>
              <w:t>E</w:t>
            </w:r>
            <w:r w:rsidRPr="008E47E9">
              <w:rPr>
                <w:sz w:val="18"/>
              </w:rPr>
              <w:t>-</w:t>
            </w:r>
            <w:r w:rsidRPr="006008D6">
              <w:rPr>
                <w:sz w:val="18"/>
                <w:lang w:val="en-US"/>
              </w:rPr>
              <w:t>mail</w:t>
            </w:r>
            <w:r w:rsidRPr="008E47E9">
              <w:rPr>
                <w:sz w:val="18"/>
              </w:rPr>
              <w:t xml:space="preserve">: </w:t>
            </w:r>
            <w:proofErr w:type="spellStart"/>
            <w:r w:rsidR="008E47E9" w:rsidRPr="008E47E9">
              <w:rPr>
                <w:sz w:val="18"/>
                <w:lang w:val="en-US"/>
              </w:rPr>
              <w:t>minenergo</w:t>
            </w:r>
            <w:proofErr w:type="spellEnd"/>
            <w:r w:rsidR="008E47E9" w:rsidRPr="008E47E9">
              <w:rPr>
                <w:sz w:val="18"/>
              </w:rPr>
              <w:t>@</w:t>
            </w:r>
            <w:proofErr w:type="spellStart"/>
            <w:r w:rsidR="008E47E9" w:rsidRPr="008E47E9">
              <w:rPr>
                <w:sz w:val="18"/>
                <w:lang w:val="en-US"/>
              </w:rPr>
              <w:t>egov</w:t>
            </w:r>
            <w:proofErr w:type="spellEnd"/>
            <w:r w:rsidR="008E47E9" w:rsidRPr="008E47E9">
              <w:rPr>
                <w:sz w:val="18"/>
              </w:rPr>
              <w:t>66.</w:t>
            </w:r>
            <w:proofErr w:type="spellStart"/>
            <w:r w:rsidR="008E47E9" w:rsidRPr="008E47E9">
              <w:rPr>
                <w:sz w:val="18"/>
                <w:lang w:val="en-US"/>
              </w:rPr>
              <w:t>ru</w:t>
            </w:r>
            <w:proofErr w:type="spellEnd"/>
          </w:p>
          <w:p w:rsidR="008E47E9" w:rsidRPr="008E47E9" w:rsidRDefault="008E47E9" w:rsidP="00185C4A">
            <w:pPr>
              <w:spacing w:line="200" w:lineRule="exact"/>
              <w:ind w:left="-113" w:right="-113"/>
              <w:jc w:val="center"/>
              <w:rPr>
                <w:sz w:val="18"/>
              </w:rPr>
            </w:pPr>
          </w:p>
        </w:tc>
        <w:tc>
          <w:tcPr>
            <w:tcW w:w="1185" w:type="dxa"/>
            <w:gridSpan w:val="2"/>
            <w:vMerge/>
          </w:tcPr>
          <w:p w:rsidR="00B87103" w:rsidRPr="008E47E9" w:rsidRDefault="00B87103" w:rsidP="00185C4A">
            <w:pPr>
              <w:pStyle w:val="ConsPlusNonformat"/>
              <w:widowControl/>
              <w:tabs>
                <w:tab w:val="left" w:pos="-2160"/>
                <w:tab w:val="left" w:pos="5040"/>
              </w:tabs>
              <w:ind w:right="4935"/>
              <w:jc w:val="center"/>
              <w:rPr>
                <w:rFonts w:ascii="Times New Roman" w:hAnsi="Times New Roman" w:cs="Times New Roman"/>
                <w:b/>
                <w:sz w:val="28"/>
                <w:szCs w:val="28"/>
              </w:rPr>
            </w:pPr>
          </w:p>
        </w:tc>
        <w:tc>
          <w:tcPr>
            <w:tcW w:w="4657" w:type="dxa"/>
            <w:vMerge/>
            <w:shd w:val="clear" w:color="auto" w:fill="auto"/>
          </w:tcPr>
          <w:p w:rsidR="00B87103" w:rsidRPr="00AF2907" w:rsidRDefault="00B87103" w:rsidP="00185C4A">
            <w:pPr>
              <w:pStyle w:val="ConsPlusNonformat"/>
              <w:widowControl/>
              <w:tabs>
                <w:tab w:val="left" w:pos="-2160"/>
                <w:tab w:val="left" w:pos="5040"/>
              </w:tabs>
              <w:ind w:right="4935"/>
              <w:jc w:val="center"/>
              <w:rPr>
                <w:rFonts w:ascii="Times New Roman" w:hAnsi="Times New Roman" w:cs="Times New Roman"/>
                <w:b/>
                <w:sz w:val="28"/>
                <w:szCs w:val="28"/>
              </w:rPr>
            </w:pPr>
          </w:p>
        </w:tc>
      </w:tr>
      <w:tr w:rsidR="00557CA3" w:rsidRPr="0029341B" w:rsidTr="00BF73C3">
        <w:trPr>
          <w:trHeight w:val="106"/>
        </w:trPr>
        <w:tc>
          <w:tcPr>
            <w:tcW w:w="2410" w:type="dxa"/>
            <w:gridSpan w:val="2"/>
            <w:tcBorders>
              <w:bottom w:val="single" w:sz="4" w:space="0" w:color="auto"/>
            </w:tcBorders>
            <w:tcMar>
              <w:left w:w="0" w:type="dxa"/>
              <w:right w:w="0" w:type="dxa"/>
            </w:tcMar>
            <w:vAlign w:val="bottom"/>
          </w:tcPr>
          <w:p w:rsidR="00557CA3" w:rsidRPr="00C81DD9" w:rsidRDefault="00557CA3" w:rsidP="00557CA3">
            <w:pPr>
              <w:pStyle w:val="2"/>
              <w:spacing w:line="240" w:lineRule="auto"/>
              <w:rPr>
                <w:b w:val="0"/>
                <w:bCs w:val="0"/>
                <w:sz w:val="24"/>
                <w:szCs w:val="24"/>
                <w:lang w:val="en-US"/>
              </w:rPr>
            </w:pPr>
            <w:r>
              <w:rPr>
                <w:b w:val="0"/>
                <w:bCs w:val="0"/>
                <w:sz w:val="24"/>
                <w:szCs w:val="24"/>
                <w:lang w:val="en-US"/>
              </w:rPr>
              <w:t>%REG_DATE%</w:t>
            </w:r>
          </w:p>
        </w:tc>
        <w:tc>
          <w:tcPr>
            <w:tcW w:w="284" w:type="dxa"/>
            <w:tcMar>
              <w:left w:w="113" w:type="dxa"/>
              <w:right w:w="113" w:type="dxa"/>
            </w:tcMar>
            <w:vAlign w:val="bottom"/>
          </w:tcPr>
          <w:p w:rsidR="00557CA3" w:rsidRPr="00C81DD9" w:rsidRDefault="00557CA3" w:rsidP="00557CA3">
            <w:pPr>
              <w:pStyle w:val="2"/>
              <w:spacing w:line="240" w:lineRule="auto"/>
              <w:ind w:left="-284" w:right="-284"/>
              <w:rPr>
                <w:b w:val="0"/>
                <w:bCs w:val="0"/>
                <w:sz w:val="24"/>
                <w:szCs w:val="24"/>
                <w:lang w:val="en-US"/>
              </w:rPr>
            </w:pPr>
            <w:r w:rsidRPr="00C81DD9">
              <w:rPr>
                <w:b w:val="0"/>
                <w:bCs w:val="0"/>
                <w:sz w:val="24"/>
                <w:szCs w:val="24"/>
                <w:lang w:val="en-US"/>
              </w:rPr>
              <w:t>№</w:t>
            </w:r>
          </w:p>
        </w:tc>
        <w:tc>
          <w:tcPr>
            <w:tcW w:w="1984" w:type="dxa"/>
            <w:gridSpan w:val="2"/>
            <w:tcBorders>
              <w:bottom w:val="single" w:sz="4" w:space="0" w:color="auto"/>
            </w:tcBorders>
            <w:tcMar>
              <w:left w:w="0" w:type="dxa"/>
              <w:right w:w="0" w:type="dxa"/>
            </w:tcMar>
            <w:vAlign w:val="bottom"/>
          </w:tcPr>
          <w:p w:rsidR="00557CA3" w:rsidRPr="004C1BAB" w:rsidRDefault="00557CA3" w:rsidP="00557CA3">
            <w:pPr>
              <w:pStyle w:val="2"/>
              <w:spacing w:line="240" w:lineRule="auto"/>
              <w:jc w:val="left"/>
              <w:rPr>
                <w:b w:val="0"/>
                <w:bCs w:val="0"/>
                <w:sz w:val="24"/>
                <w:szCs w:val="24"/>
              </w:rPr>
            </w:pPr>
            <w:r w:rsidRPr="00C81DD9">
              <w:rPr>
                <w:b w:val="0"/>
                <w:bCs w:val="0"/>
                <w:sz w:val="24"/>
                <w:szCs w:val="24"/>
                <w:lang w:val="en-US"/>
              </w:rPr>
              <w:t>%REG_</w:t>
            </w:r>
            <w:r>
              <w:rPr>
                <w:b w:val="0"/>
                <w:bCs w:val="0"/>
                <w:sz w:val="24"/>
                <w:szCs w:val="24"/>
                <w:lang w:val="en-US"/>
              </w:rPr>
              <w:t>NUM</w:t>
            </w:r>
            <w:r w:rsidRPr="00C81DD9">
              <w:rPr>
                <w:b w:val="0"/>
                <w:bCs w:val="0"/>
                <w:sz w:val="24"/>
                <w:szCs w:val="24"/>
                <w:lang w:val="en-US"/>
              </w:rPr>
              <w:t>%</w:t>
            </w:r>
          </w:p>
        </w:tc>
        <w:tc>
          <w:tcPr>
            <w:tcW w:w="851" w:type="dxa"/>
            <w:vMerge w:val="restart"/>
            <w:vAlign w:val="bottom"/>
          </w:tcPr>
          <w:p w:rsidR="00557CA3" w:rsidRPr="001F2B06" w:rsidRDefault="00557CA3" w:rsidP="00557CA3">
            <w:pPr>
              <w:pStyle w:val="2"/>
              <w:spacing w:line="240" w:lineRule="auto"/>
              <w:rPr>
                <w:bCs w:val="0"/>
                <w:sz w:val="24"/>
                <w:lang w:val="en-US"/>
              </w:rPr>
            </w:pPr>
          </w:p>
        </w:tc>
        <w:tc>
          <w:tcPr>
            <w:tcW w:w="4657" w:type="dxa"/>
            <w:vMerge/>
            <w:shd w:val="clear" w:color="auto" w:fill="auto"/>
            <w:vAlign w:val="bottom"/>
          </w:tcPr>
          <w:p w:rsidR="00557CA3" w:rsidRPr="00AF2907" w:rsidRDefault="00557CA3" w:rsidP="00557CA3">
            <w:pPr>
              <w:pStyle w:val="ConsPlusNonformat"/>
              <w:widowControl/>
              <w:tabs>
                <w:tab w:val="left" w:pos="-2160"/>
                <w:tab w:val="left" w:pos="5040"/>
              </w:tabs>
              <w:ind w:right="4935"/>
              <w:jc w:val="center"/>
              <w:rPr>
                <w:rFonts w:ascii="Times New Roman" w:hAnsi="Times New Roman" w:cs="Times New Roman"/>
                <w:b/>
                <w:sz w:val="28"/>
                <w:szCs w:val="28"/>
                <w:lang w:val="en-US"/>
              </w:rPr>
            </w:pPr>
          </w:p>
        </w:tc>
      </w:tr>
      <w:tr w:rsidR="00557CA3" w:rsidRPr="0029341B" w:rsidTr="00BF73C3">
        <w:trPr>
          <w:trHeight w:val="329"/>
        </w:trPr>
        <w:tc>
          <w:tcPr>
            <w:tcW w:w="567" w:type="dxa"/>
            <w:tcMar>
              <w:left w:w="0" w:type="dxa"/>
              <w:right w:w="0" w:type="dxa"/>
            </w:tcMar>
            <w:vAlign w:val="bottom"/>
          </w:tcPr>
          <w:p w:rsidR="00557CA3" w:rsidRPr="00C81DD9" w:rsidRDefault="00557CA3" w:rsidP="00557CA3">
            <w:pPr>
              <w:pStyle w:val="2"/>
              <w:spacing w:line="240" w:lineRule="auto"/>
              <w:ind w:right="-227"/>
              <w:jc w:val="left"/>
              <w:rPr>
                <w:b w:val="0"/>
                <w:bCs w:val="0"/>
                <w:sz w:val="24"/>
                <w:szCs w:val="24"/>
                <w:lang w:val="en-US"/>
              </w:rPr>
            </w:pPr>
            <w:proofErr w:type="spellStart"/>
            <w:r>
              <w:rPr>
                <w:b w:val="0"/>
                <w:bCs w:val="0"/>
                <w:sz w:val="24"/>
                <w:szCs w:val="24"/>
                <w:lang w:val="en-US"/>
              </w:rPr>
              <w:t>н</w:t>
            </w:r>
            <w:r w:rsidRPr="00C81DD9">
              <w:rPr>
                <w:b w:val="0"/>
                <w:bCs w:val="0"/>
                <w:sz w:val="24"/>
                <w:szCs w:val="24"/>
                <w:lang w:val="en-US"/>
              </w:rPr>
              <w:t>а</w:t>
            </w:r>
            <w:proofErr w:type="spellEnd"/>
            <w:r w:rsidRPr="00C81DD9">
              <w:rPr>
                <w:b w:val="0"/>
                <w:bCs w:val="0"/>
                <w:sz w:val="24"/>
                <w:szCs w:val="24"/>
              </w:rPr>
              <w:t xml:space="preserve"> </w:t>
            </w:r>
            <w:r w:rsidRPr="00C81DD9">
              <w:rPr>
                <w:b w:val="0"/>
                <w:bCs w:val="0"/>
                <w:sz w:val="24"/>
                <w:szCs w:val="24"/>
                <w:lang w:val="en-US"/>
              </w:rPr>
              <w:t>№</w:t>
            </w:r>
          </w:p>
        </w:tc>
        <w:tc>
          <w:tcPr>
            <w:tcW w:w="1843" w:type="dxa"/>
            <w:tcBorders>
              <w:bottom w:val="single" w:sz="4" w:space="0" w:color="auto"/>
            </w:tcBorders>
            <w:tcMar>
              <w:left w:w="0" w:type="dxa"/>
              <w:right w:w="0" w:type="dxa"/>
            </w:tcMar>
            <w:vAlign w:val="bottom"/>
          </w:tcPr>
          <w:p w:rsidR="00557CA3" w:rsidRPr="00C81DD9" w:rsidRDefault="00557CA3" w:rsidP="00557CA3">
            <w:pPr>
              <w:pStyle w:val="2"/>
              <w:spacing w:line="240" w:lineRule="auto"/>
              <w:rPr>
                <w:b w:val="0"/>
                <w:bCs w:val="0"/>
                <w:sz w:val="24"/>
                <w:szCs w:val="24"/>
              </w:rPr>
            </w:pPr>
          </w:p>
        </w:tc>
        <w:tc>
          <w:tcPr>
            <w:tcW w:w="284" w:type="dxa"/>
            <w:tcMar>
              <w:left w:w="113" w:type="dxa"/>
              <w:right w:w="113" w:type="dxa"/>
            </w:tcMar>
            <w:vAlign w:val="bottom"/>
          </w:tcPr>
          <w:p w:rsidR="00557CA3" w:rsidRPr="00C81DD9" w:rsidRDefault="00557CA3" w:rsidP="00557CA3">
            <w:pPr>
              <w:pStyle w:val="2"/>
              <w:spacing w:line="240" w:lineRule="auto"/>
              <w:ind w:left="-284" w:right="-284"/>
              <w:rPr>
                <w:b w:val="0"/>
                <w:bCs w:val="0"/>
                <w:sz w:val="24"/>
                <w:szCs w:val="24"/>
              </w:rPr>
            </w:pPr>
            <w:r w:rsidRPr="00C81DD9">
              <w:rPr>
                <w:b w:val="0"/>
                <w:bCs w:val="0"/>
                <w:sz w:val="24"/>
                <w:szCs w:val="24"/>
              </w:rPr>
              <w:t>от</w:t>
            </w:r>
          </w:p>
        </w:tc>
        <w:tc>
          <w:tcPr>
            <w:tcW w:w="1984" w:type="dxa"/>
            <w:gridSpan w:val="2"/>
            <w:tcBorders>
              <w:top w:val="single" w:sz="4" w:space="0" w:color="auto"/>
              <w:bottom w:val="single" w:sz="4" w:space="0" w:color="auto"/>
            </w:tcBorders>
            <w:tcMar>
              <w:left w:w="0" w:type="dxa"/>
              <w:right w:w="0" w:type="dxa"/>
            </w:tcMar>
            <w:vAlign w:val="bottom"/>
          </w:tcPr>
          <w:p w:rsidR="00557CA3" w:rsidRPr="00C81DD9" w:rsidRDefault="00557CA3" w:rsidP="00557CA3">
            <w:pPr>
              <w:pStyle w:val="2"/>
              <w:spacing w:line="240" w:lineRule="auto"/>
              <w:rPr>
                <w:b w:val="0"/>
                <w:bCs w:val="0"/>
                <w:sz w:val="24"/>
                <w:szCs w:val="24"/>
              </w:rPr>
            </w:pPr>
          </w:p>
        </w:tc>
        <w:tc>
          <w:tcPr>
            <w:tcW w:w="851" w:type="dxa"/>
            <w:vMerge/>
            <w:vAlign w:val="bottom"/>
          </w:tcPr>
          <w:p w:rsidR="00557CA3" w:rsidRPr="001F2B06" w:rsidRDefault="00557CA3" w:rsidP="00557CA3">
            <w:pPr>
              <w:pStyle w:val="2"/>
              <w:spacing w:line="240" w:lineRule="auto"/>
              <w:rPr>
                <w:bCs w:val="0"/>
                <w:sz w:val="24"/>
                <w:lang w:val="en-US"/>
              </w:rPr>
            </w:pPr>
          </w:p>
        </w:tc>
        <w:tc>
          <w:tcPr>
            <w:tcW w:w="4657" w:type="dxa"/>
            <w:vMerge/>
            <w:vAlign w:val="bottom"/>
          </w:tcPr>
          <w:p w:rsidR="00557CA3" w:rsidRPr="00AF2907" w:rsidRDefault="00557CA3" w:rsidP="00557CA3">
            <w:pPr>
              <w:pStyle w:val="ConsPlusNonformat"/>
              <w:widowControl/>
              <w:tabs>
                <w:tab w:val="left" w:pos="-2160"/>
                <w:tab w:val="left" w:pos="5040"/>
              </w:tabs>
              <w:ind w:right="4935"/>
              <w:jc w:val="center"/>
              <w:rPr>
                <w:rFonts w:ascii="Times New Roman" w:hAnsi="Times New Roman" w:cs="Times New Roman"/>
                <w:b/>
                <w:sz w:val="28"/>
                <w:szCs w:val="28"/>
                <w:lang w:val="en-US"/>
              </w:rPr>
            </w:pPr>
          </w:p>
        </w:tc>
      </w:tr>
    </w:tbl>
    <w:p w:rsidR="00BF73C3" w:rsidRPr="00577CF5" w:rsidRDefault="00BF73C3" w:rsidP="00BF73C3">
      <w:pPr>
        <w:rPr>
          <w:sz w:val="26"/>
          <w:szCs w:val="26"/>
          <w:lang w:eastAsia="en-US"/>
        </w:rPr>
      </w:pPr>
    </w:p>
    <w:p w:rsidR="00BF73C3" w:rsidRPr="00577CF5" w:rsidRDefault="00332C2E" w:rsidP="00332C2E">
      <w:pPr>
        <w:ind w:right="5101"/>
        <w:rPr>
          <w:rFonts w:ascii="Liberation Serif" w:hAnsi="Liberation Serif" w:cs="Liberation Serif"/>
          <w:sz w:val="26"/>
          <w:szCs w:val="26"/>
          <w:lang w:eastAsia="en-US"/>
        </w:rPr>
      </w:pPr>
      <w:r w:rsidRPr="00577CF5">
        <w:rPr>
          <w:rFonts w:ascii="Liberation Serif" w:hAnsi="Liberation Serif" w:cs="Liberation Serif"/>
          <w:sz w:val="26"/>
          <w:szCs w:val="26"/>
          <w:lang w:eastAsia="en-US"/>
        </w:rPr>
        <w:t xml:space="preserve">О </w:t>
      </w:r>
      <w:r w:rsidR="00DB79A6" w:rsidRPr="00577CF5">
        <w:rPr>
          <w:rFonts w:ascii="Liberation Serif" w:hAnsi="Liberation Serif" w:cs="Liberation Serif"/>
          <w:sz w:val="26"/>
          <w:szCs w:val="26"/>
          <w:lang w:eastAsia="en-US"/>
        </w:rPr>
        <w:t xml:space="preserve">разъяснении вопросов </w:t>
      </w:r>
      <w:r w:rsidR="00561272" w:rsidRPr="00577CF5">
        <w:rPr>
          <w:rFonts w:ascii="Liberation Serif" w:hAnsi="Liberation Serif" w:cs="Liberation Serif"/>
          <w:sz w:val="26"/>
          <w:szCs w:val="26"/>
          <w:lang w:eastAsia="en-US"/>
        </w:rPr>
        <w:t xml:space="preserve">в сфере </w:t>
      </w:r>
      <w:r w:rsidR="00DB79A6" w:rsidRPr="00577CF5">
        <w:rPr>
          <w:rFonts w:ascii="Liberation Serif" w:hAnsi="Liberation Serif" w:cs="Liberation Serif"/>
          <w:sz w:val="26"/>
          <w:szCs w:val="26"/>
          <w:lang w:eastAsia="en-US"/>
        </w:rPr>
        <w:t>обращения с ТКО</w:t>
      </w:r>
    </w:p>
    <w:p w:rsidR="00BF73C3" w:rsidRPr="00577CF5" w:rsidRDefault="00BF73C3" w:rsidP="00BF73C3">
      <w:pPr>
        <w:rPr>
          <w:rFonts w:ascii="Liberation Serif" w:hAnsi="Liberation Serif" w:cs="Liberation Serif"/>
          <w:sz w:val="26"/>
          <w:szCs w:val="26"/>
          <w:lang w:eastAsia="en-US"/>
        </w:rPr>
      </w:pPr>
    </w:p>
    <w:p w:rsidR="00DB79A6" w:rsidRPr="00577CF5" w:rsidRDefault="00DB79A6" w:rsidP="00BF73C3">
      <w:pPr>
        <w:rPr>
          <w:rFonts w:ascii="Liberation Serif" w:hAnsi="Liberation Serif" w:cs="Liberation Serif"/>
          <w:sz w:val="26"/>
          <w:szCs w:val="26"/>
          <w:lang w:eastAsia="en-US"/>
        </w:rPr>
      </w:pPr>
    </w:p>
    <w:p w:rsidR="000A52F2" w:rsidRPr="00577CF5" w:rsidRDefault="000A52F2" w:rsidP="000A52F2">
      <w:pPr>
        <w:ind w:firstLine="709"/>
        <w:jc w:val="both"/>
        <w:rPr>
          <w:sz w:val="26"/>
          <w:szCs w:val="26"/>
        </w:rPr>
      </w:pPr>
      <w:r w:rsidRPr="00577CF5">
        <w:rPr>
          <w:sz w:val="26"/>
          <w:szCs w:val="26"/>
        </w:rPr>
        <w:t>Министерством энергетики и жилищно-коммунального хозяйства Свердловской области (далее – Министерство) рассмотрены Ваше письмо о вопросах в сфере обращения с твердыми коммунальными отходами. По результатам рассмотрения сообщаю следующее:</w:t>
      </w:r>
    </w:p>
    <w:p w:rsidR="00561272" w:rsidRPr="00577CF5" w:rsidRDefault="000A52F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1.</w:t>
      </w:r>
      <w:r w:rsidR="00561272" w:rsidRPr="00577CF5">
        <w:rPr>
          <w:rFonts w:ascii="Liberation Serif" w:hAnsi="Liberation Serif" w:cs="Liberation Serif"/>
          <w:sz w:val="26"/>
          <w:szCs w:val="26"/>
        </w:rPr>
        <w:t xml:space="preserve"> Регулирование сферы создания и содержания мест (площадок) накопления твердых коммунальных отходов (далее – ТКО) осуществляется федеральными законами, в том числе специальным законодательством в сфере обращения с отходами производства и потребления.</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Федеральный закон от 24.06.1998 № 89-ФЗ «Об отходах производства и потребления» (далее – Закон № 89-ФЗ) в статье 8 относит к полномочиям органов местного самоуправления городских поселений и муниципальных районов в области обращения с ТКО создание и содержание мес</w:t>
      </w:r>
      <w:r w:rsidR="00F467BD">
        <w:rPr>
          <w:rFonts w:ascii="Liberation Serif" w:hAnsi="Liberation Serif" w:cs="Liberation Serif"/>
          <w:sz w:val="26"/>
          <w:szCs w:val="26"/>
        </w:rPr>
        <w:t>т (площадок) накопления ТКО, за </w:t>
      </w:r>
      <w:r w:rsidRPr="00577CF5">
        <w:rPr>
          <w:rFonts w:ascii="Liberation Serif" w:hAnsi="Liberation Serif" w:cs="Liberation Serif"/>
          <w:sz w:val="26"/>
          <w:szCs w:val="26"/>
        </w:rPr>
        <w:t>исключением установленных законодательством Российской Федерации случаев, когда такая обязанность лежит на других лицах.</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Статьей 13</w:t>
      </w:r>
      <w:r w:rsidR="0002591E">
        <w:rPr>
          <w:rFonts w:ascii="Liberation Serif" w:hAnsi="Liberation Serif" w:cs="Liberation Serif"/>
          <w:sz w:val="26"/>
          <w:szCs w:val="26"/>
        </w:rPr>
        <w:t>.</w:t>
      </w:r>
      <w:r w:rsidRPr="00577CF5">
        <w:rPr>
          <w:rFonts w:ascii="Liberation Serif" w:hAnsi="Liberation Serif" w:cs="Liberation Serif"/>
          <w:sz w:val="26"/>
          <w:szCs w:val="26"/>
        </w:rPr>
        <w:t>4 Закона № 89-ФЗ установлено, что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правилами, утвержденными Правительством Российской Федерации. Правила обустройства мест (площадок) накопления ТКО и правила ведения их реестра, утвержденные постановлением Правительства Российской Федерации от 31.08.2018 № 1039 (далее – Правила № 1039), включают в себя порядок создания мест (площадок) накопления ТКО, правила формирования и ведения реестра мест (площадок) накопления ТКО, требования к содержанию реестра мест (площадок) накопления ТКО.</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Согласно пункту 3 Правил № 1039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ТКО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Так, подпункт 18 части 1 статьи 14, подпункт 18</w:t>
      </w:r>
      <w:r w:rsidR="00F467BD">
        <w:rPr>
          <w:rFonts w:ascii="Liberation Serif" w:hAnsi="Liberation Serif" w:cs="Liberation Serif"/>
          <w:sz w:val="26"/>
          <w:szCs w:val="26"/>
        </w:rPr>
        <w:t xml:space="preserve"> части 1 статьи 15, подпункт 24 </w:t>
      </w:r>
      <w:r w:rsidRPr="00577CF5">
        <w:rPr>
          <w:rFonts w:ascii="Liberation Serif" w:hAnsi="Liberation Serif" w:cs="Liberation Serif"/>
          <w:sz w:val="26"/>
          <w:szCs w:val="26"/>
        </w:rPr>
        <w:t xml:space="preserve">части 1 статьи 16 Федерального закона от 06.10.2003 № 131-ФЗ «Об общих принципах организации местного самоуправления в Российской Федерации» относит к вопросам </w:t>
      </w:r>
      <w:r w:rsidRPr="00577CF5">
        <w:rPr>
          <w:rFonts w:ascii="Liberation Serif" w:hAnsi="Liberation Serif" w:cs="Liberation Serif"/>
          <w:sz w:val="26"/>
          <w:szCs w:val="26"/>
        </w:rPr>
        <w:lastRenderedPageBreak/>
        <w:t>местного значения городского, сельского поселения, муниципального района, городского округа, в том числе участие в организации деятельности по накоплению (в том числе раздельному накоплению) ТКО на территориях соответствующих муниципальных образований.</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Статьей 11 Закона № 89-ФЗ установлено, что накопление отходов представляет собой складирование отходов на срок не более чем одиннадцать месяцев</w:t>
      </w:r>
      <w:r w:rsidR="00F467BD">
        <w:rPr>
          <w:rFonts w:ascii="Liberation Serif" w:hAnsi="Liberation Serif" w:cs="Liberation Serif"/>
          <w:sz w:val="26"/>
          <w:szCs w:val="26"/>
        </w:rPr>
        <w:t xml:space="preserve"> в целях их </w:t>
      </w:r>
      <w:r w:rsidRPr="00577CF5">
        <w:rPr>
          <w:rFonts w:ascii="Liberation Serif" w:hAnsi="Liberation Serif" w:cs="Liberation Serif"/>
          <w:sz w:val="26"/>
          <w:szCs w:val="26"/>
        </w:rPr>
        <w:t>дальнейших обработки, утилизации, обезвреживания, размещения.</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Пунктом 2 Правил обращения с твердыми коммунальными отходами, утвержденными постановлением Правительства Росси</w:t>
      </w:r>
      <w:r w:rsidR="00F467BD">
        <w:rPr>
          <w:rFonts w:ascii="Liberation Serif" w:hAnsi="Liberation Serif" w:cs="Liberation Serif"/>
          <w:sz w:val="26"/>
          <w:szCs w:val="26"/>
        </w:rPr>
        <w:t>йской Федерации от 12.11.2016 № </w:t>
      </w:r>
      <w:r w:rsidRPr="00577CF5">
        <w:rPr>
          <w:rFonts w:ascii="Liberation Serif" w:hAnsi="Liberation Serif" w:cs="Liberation Serif"/>
          <w:sz w:val="26"/>
          <w:szCs w:val="26"/>
        </w:rPr>
        <w:t>1156, определено, что складирование отходов (крупногабаритных и твердых коммунальных) осуществляется в бункерах и контейнерах.</w:t>
      </w:r>
    </w:p>
    <w:p w:rsidR="00017C36" w:rsidRPr="00577CF5" w:rsidRDefault="00017C36" w:rsidP="00017C36">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Следовательно, участие органов местного самоуправление в деятельности по накоплению ТКО, созданию мест (площадок) накопления ТКО, в том числе может заключаться, и в приобретении, обслуживании органами местного самоуправления контейнеров и бункеров для установки в местах (площадках) накопления ТКО.</w:t>
      </w:r>
    </w:p>
    <w:p w:rsidR="00017C36" w:rsidRPr="00577CF5" w:rsidRDefault="00017C36" w:rsidP="00017C36">
      <w:pPr>
        <w:ind w:firstLine="686"/>
        <w:contextualSpacing/>
        <w:jc w:val="both"/>
        <w:rPr>
          <w:sz w:val="26"/>
          <w:szCs w:val="26"/>
        </w:rPr>
      </w:pPr>
      <w:r w:rsidRPr="00577CF5">
        <w:rPr>
          <w:sz w:val="26"/>
          <w:szCs w:val="26"/>
        </w:rPr>
        <w:t>На основании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органы местного самоуправления создают места (площадки) накопления ТКО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561272" w:rsidRPr="00577CF5" w:rsidRDefault="00017C36" w:rsidP="00017C36">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 xml:space="preserve">2. </w:t>
      </w:r>
      <w:r w:rsidR="00561272" w:rsidRPr="00577CF5">
        <w:rPr>
          <w:rFonts w:ascii="Liberation Serif" w:hAnsi="Liberation Serif" w:cs="Liberation Serif"/>
          <w:sz w:val="26"/>
          <w:szCs w:val="26"/>
        </w:rPr>
        <w:t>Статьей 36 Жилищного кодекса Российской Федерации (далее– ЖК РФ) установлено, что собственникам помещений в мног</w:t>
      </w:r>
      <w:r w:rsidR="00F467BD">
        <w:rPr>
          <w:rFonts w:ascii="Liberation Serif" w:hAnsi="Liberation Serif" w:cs="Liberation Serif"/>
          <w:sz w:val="26"/>
          <w:szCs w:val="26"/>
        </w:rPr>
        <w:t>оквартирном доме принадлежит на </w:t>
      </w:r>
      <w:r w:rsidR="00561272" w:rsidRPr="00577CF5">
        <w:rPr>
          <w:rFonts w:ascii="Liberation Serif" w:hAnsi="Liberation Serif" w:cs="Liberation Serif"/>
          <w:sz w:val="26"/>
          <w:szCs w:val="26"/>
        </w:rPr>
        <w:t>праве общей долевой собственности общее имущество в многоквартирном доме, включая предназначенные для обслуживания, эксплуатации и благоустройства данного дома и расположенные на указанном земельном участке объекты, которым собственники помещений в многоквартирном доме владеют, пользуются и в установленных ЖК РФ и гражданским законодательством пределах распоряжаются общим имуществом в многоквартирном доме.</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При этом собственники помещений в многоквартирном доме согласно статье </w:t>
      </w:r>
      <w:r w:rsidR="00F467BD">
        <w:rPr>
          <w:rFonts w:ascii="Liberation Serif" w:hAnsi="Liberation Serif" w:cs="Liberation Serif"/>
          <w:sz w:val="26"/>
          <w:szCs w:val="26"/>
        </w:rPr>
        <w:t>39 </w:t>
      </w:r>
      <w:r w:rsidRPr="00577CF5">
        <w:rPr>
          <w:rFonts w:ascii="Liberation Serif" w:hAnsi="Liberation Serif" w:cs="Liberation Serif"/>
          <w:sz w:val="26"/>
          <w:szCs w:val="26"/>
        </w:rPr>
        <w:t>ЖК РФ несут бремя расходов на содержание общего имущества в многоквартирном доме в пределах долей в праве общей собственности на общее имущество в таком доме указанного собственника.</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включены 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03.04.2013 № 290.</w:t>
      </w:r>
    </w:p>
    <w:p w:rsidR="00C73CDA" w:rsidRPr="00577CF5" w:rsidRDefault="00561272" w:rsidP="00C73CDA">
      <w:pPr>
        <w:ind w:firstLine="709"/>
        <w:jc w:val="both"/>
        <w:rPr>
          <w:rFonts w:ascii="Liberation Serif" w:hAnsi="Liberation Serif" w:cs="Liberation Serif"/>
          <w:sz w:val="26"/>
          <w:szCs w:val="26"/>
        </w:rPr>
      </w:pPr>
      <w:r w:rsidRPr="00577CF5">
        <w:rPr>
          <w:rFonts w:ascii="Liberation Serif" w:hAnsi="Liberation Serif" w:cs="Liberation Serif"/>
          <w:sz w:val="26"/>
          <w:szCs w:val="26"/>
        </w:rPr>
        <w:t>Таким образом, собственники помещений многоквартирного дома вправе приобретать контейнеры и бункеры в качестве имущества общего пользования и обязаны в указанном случае осуществлять их содержание</w:t>
      </w:r>
      <w:r w:rsidR="00C73CDA" w:rsidRPr="00577CF5">
        <w:rPr>
          <w:rFonts w:ascii="Liberation Serif" w:hAnsi="Liberation Serif" w:cs="Liberation Serif"/>
          <w:sz w:val="26"/>
          <w:szCs w:val="26"/>
        </w:rPr>
        <w:t>.</w:t>
      </w:r>
    </w:p>
    <w:p w:rsidR="00CD579E" w:rsidRPr="00577CF5" w:rsidRDefault="00C73CDA" w:rsidP="00C73CDA">
      <w:pPr>
        <w:spacing w:line="226" w:lineRule="auto"/>
        <w:ind w:firstLine="709"/>
        <w:jc w:val="both"/>
        <w:rPr>
          <w:rFonts w:eastAsiaTheme="minorHAnsi"/>
          <w:sz w:val="26"/>
          <w:szCs w:val="26"/>
          <w:lang w:eastAsia="en-US"/>
        </w:rPr>
      </w:pPr>
      <w:r w:rsidRPr="00577CF5">
        <w:rPr>
          <w:rFonts w:eastAsiaTheme="minorHAnsi"/>
          <w:sz w:val="26"/>
          <w:szCs w:val="26"/>
          <w:lang w:eastAsia="en-US"/>
        </w:rPr>
        <w:t xml:space="preserve"> </w:t>
      </w:r>
      <w:r w:rsidR="00CD579E" w:rsidRPr="00577CF5">
        <w:rPr>
          <w:rFonts w:eastAsiaTheme="minorHAnsi"/>
          <w:sz w:val="26"/>
          <w:szCs w:val="26"/>
          <w:lang w:eastAsia="en-US"/>
        </w:rPr>
        <w:t xml:space="preserve">В соответствии статьей 13 </w:t>
      </w:r>
      <w:r w:rsidR="00CD579E" w:rsidRPr="00577CF5">
        <w:rPr>
          <w:sz w:val="26"/>
          <w:szCs w:val="26"/>
        </w:rPr>
        <w:t>постановления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предусмотрено</w:t>
      </w:r>
      <w:r w:rsidR="00CD579E" w:rsidRPr="00577CF5">
        <w:rPr>
          <w:rFonts w:eastAsiaTheme="minorHAnsi"/>
          <w:sz w:val="26"/>
          <w:szCs w:val="26"/>
          <w:lang w:eastAsia="en-US"/>
        </w:rPr>
        <w:t>, что Региональный оператор несет ответственность за обращение с твердыми коммунальными отходами с момента погрузки таких отходов в мусоровоз с</w:t>
      </w:r>
      <w:r w:rsidR="00F467BD">
        <w:rPr>
          <w:rFonts w:eastAsiaTheme="minorHAnsi"/>
          <w:sz w:val="26"/>
          <w:szCs w:val="26"/>
          <w:lang w:eastAsia="en-US"/>
        </w:rPr>
        <w:t> </w:t>
      </w:r>
      <w:r w:rsidR="00CD579E" w:rsidRPr="00577CF5">
        <w:rPr>
          <w:rFonts w:eastAsiaTheme="minorHAnsi"/>
          <w:sz w:val="26"/>
          <w:szCs w:val="26"/>
          <w:lang w:eastAsia="en-US"/>
        </w:rPr>
        <w:t>мест (площадок) накопления твердых коммунальных отходов</w:t>
      </w:r>
      <w:r w:rsidR="00CD579E" w:rsidRPr="00577CF5">
        <w:rPr>
          <w:sz w:val="26"/>
          <w:szCs w:val="26"/>
        </w:rPr>
        <w:t>.</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lastRenderedPageBreak/>
        <w:t>Кроме того, допускается приобретение контейнеров и бункеров непосредственно региональными операторами по обращению с ТКО (далее – региональный оператор). Указанное следует из положений Основ ценооб</w:t>
      </w:r>
      <w:r w:rsidR="00F467BD">
        <w:rPr>
          <w:rFonts w:ascii="Liberation Serif" w:hAnsi="Liberation Serif" w:cs="Liberation Serif"/>
          <w:sz w:val="26"/>
          <w:szCs w:val="26"/>
        </w:rPr>
        <w:t>разования в области обращения с </w:t>
      </w:r>
      <w:r w:rsidRPr="00577CF5">
        <w:rPr>
          <w:rFonts w:ascii="Liberation Serif" w:hAnsi="Liberation Serif" w:cs="Liberation Serif"/>
          <w:sz w:val="26"/>
          <w:szCs w:val="26"/>
        </w:rPr>
        <w:t>твердыми коммунальными отходами, утвержденных постановлением Правительства Российской Федерации от 30.05.2016 № 484 (далее – Основы ценообразования).</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Так, Основами ценообразования предусмотрено, что расходы на приобретение контейнеров и бункеров и их содержание определяю</w:t>
      </w:r>
      <w:r w:rsidR="00F467BD">
        <w:rPr>
          <w:rFonts w:ascii="Liberation Serif" w:hAnsi="Liberation Serif" w:cs="Liberation Serif"/>
          <w:sz w:val="26"/>
          <w:szCs w:val="26"/>
        </w:rPr>
        <w:t>тся в размере, не превышающем 1 </w:t>
      </w:r>
      <w:r w:rsidRPr="00577CF5">
        <w:rPr>
          <w:rFonts w:ascii="Liberation Serif" w:hAnsi="Liberation Serif" w:cs="Liberation Serif"/>
          <w:sz w:val="26"/>
          <w:szCs w:val="26"/>
        </w:rPr>
        <w:t>процента необходимой валовой выручки регионального оператора на очередной период регулирования. Таким образом, региональный оператор</w:t>
      </w:r>
      <w:r w:rsidR="00F467BD">
        <w:rPr>
          <w:rFonts w:ascii="Liberation Serif" w:hAnsi="Liberation Serif" w:cs="Liberation Serif"/>
          <w:sz w:val="26"/>
          <w:szCs w:val="26"/>
        </w:rPr>
        <w:t xml:space="preserve"> вправе приобрести контейнеры и </w:t>
      </w:r>
      <w:r w:rsidRPr="00577CF5">
        <w:rPr>
          <w:rFonts w:ascii="Liberation Serif" w:hAnsi="Liberation Serif" w:cs="Liberation Serif"/>
          <w:sz w:val="26"/>
          <w:szCs w:val="26"/>
        </w:rPr>
        <w:t>бункеры, в случае если при тарифном регулировании в необходимой валовой выручке регионального оператора учтены данные расходы. Вместе с тем, сл</w:t>
      </w:r>
      <w:r w:rsidR="00F467BD">
        <w:rPr>
          <w:rFonts w:ascii="Liberation Serif" w:hAnsi="Liberation Serif" w:cs="Liberation Serif"/>
          <w:sz w:val="26"/>
          <w:szCs w:val="26"/>
        </w:rPr>
        <w:t>едует иметь ввиду, что </w:t>
      </w:r>
      <w:r w:rsidRPr="00577CF5">
        <w:rPr>
          <w:rFonts w:ascii="Liberation Serif" w:hAnsi="Liberation Serif" w:cs="Liberation Serif"/>
          <w:sz w:val="26"/>
          <w:szCs w:val="26"/>
        </w:rPr>
        <w:t>Основы ценообразования, определяют систему, принципы и методы регулирования тарифов на товары (работы, услуги) организаций, осуществляющих регулируемые виды деятельности в области обращения с ТКО, критерии их применения и не могут устанавливать обязательные требования для регион</w:t>
      </w:r>
      <w:r w:rsidR="00F467BD">
        <w:rPr>
          <w:rFonts w:ascii="Liberation Serif" w:hAnsi="Liberation Serif" w:cs="Liberation Serif"/>
          <w:sz w:val="26"/>
          <w:szCs w:val="26"/>
        </w:rPr>
        <w:t>ального оператора требования, в </w:t>
      </w:r>
      <w:r w:rsidRPr="00577CF5">
        <w:rPr>
          <w:rFonts w:ascii="Liberation Serif" w:hAnsi="Liberation Serif" w:cs="Liberation Serif"/>
          <w:sz w:val="26"/>
          <w:szCs w:val="26"/>
        </w:rPr>
        <w:t xml:space="preserve">части обязанности приобретения </w:t>
      </w:r>
      <w:r w:rsidR="00017C36" w:rsidRPr="00577CF5">
        <w:rPr>
          <w:rFonts w:ascii="Liberation Serif" w:hAnsi="Liberation Serif" w:cs="Liberation Serif"/>
          <w:sz w:val="26"/>
          <w:szCs w:val="26"/>
        </w:rPr>
        <w:t xml:space="preserve">и содержания </w:t>
      </w:r>
      <w:r w:rsidRPr="00577CF5">
        <w:rPr>
          <w:rFonts w:ascii="Liberation Serif" w:hAnsi="Liberation Serif" w:cs="Liberation Serif"/>
          <w:sz w:val="26"/>
          <w:szCs w:val="26"/>
        </w:rPr>
        <w:t>контейнеров и бункеров для ТКО.</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Таким образом, контейнеры и бункеры могут приобретаться:</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собственниками контейнерных площадок, в том числе органами местного самоуправления, организациями, осуществляющими управление многоквартирными домами, юридическими лицами, индивидуальными предпринимателями, физическими лицами;</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собственниками земельных участков, на которых расположены места накопления ТКО, в том числе собственниками помещений в многоквартирном доме, юридическими лицами и индивидуальными предпринимателями;</w:t>
      </w:r>
    </w:p>
    <w:p w:rsidR="00561272" w:rsidRPr="00577CF5" w:rsidRDefault="00561272" w:rsidP="00561272">
      <w:pPr>
        <w:spacing w:line="226" w:lineRule="auto"/>
        <w:ind w:firstLine="709"/>
        <w:jc w:val="both"/>
        <w:rPr>
          <w:rFonts w:ascii="Liberation Serif" w:hAnsi="Liberation Serif" w:cs="Liberation Serif"/>
          <w:sz w:val="26"/>
          <w:szCs w:val="26"/>
        </w:rPr>
      </w:pPr>
      <w:r w:rsidRPr="00577CF5">
        <w:rPr>
          <w:rFonts w:ascii="Liberation Serif" w:hAnsi="Liberation Serif" w:cs="Liberation Serif"/>
          <w:sz w:val="26"/>
          <w:szCs w:val="26"/>
        </w:rPr>
        <w:t>региональными операторами (только при условии учета затрат в составе единого тарифа).</w:t>
      </w:r>
    </w:p>
    <w:p w:rsidR="00561272" w:rsidRPr="00577CF5" w:rsidRDefault="00561272" w:rsidP="00561272">
      <w:pPr>
        <w:ind w:firstLine="709"/>
        <w:jc w:val="both"/>
        <w:rPr>
          <w:sz w:val="26"/>
          <w:szCs w:val="26"/>
        </w:rPr>
      </w:pPr>
      <w:r w:rsidRPr="00577CF5">
        <w:rPr>
          <w:rFonts w:ascii="Liberation Serif" w:hAnsi="Liberation Serif" w:cs="Liberation Serif"/>
          <w:sz w:val="26"/>
          <w:szCs w:val="26"/>
        </w:rPr>
        <w:t xml:space="preserve">3. </w:t>
      </w:r>
      <w:r w:rsidRPr="00577CF5">
        <w:rPr>
          <w:sz w:val="26"/>
          <w:szCs w:val="26"/>
        </w:rPr>
        <w:t xml:space="preserve">В соответствии со статьей 1 Федерального закона от 24 июня 1998 года </w:t>
      </w:r>
      <w:r w:rsidRPr="00577CF5">
        <w:rPr>
          <w:sz w:val="26"/>
          <w:szCs w:val="26"/>
        </w:rPr>
        <w:br/>
        <w:t>№ 89-ФЗ «Об отходах производства и потребления» (далее – Закон № 89) твёрдые коммунальные отходы (далее – ТКО), это отходы, об</w:t>
      </w:r>
      <w:r w:rsidR="00F467BD">
        <w:rPr>
          <w:sz w:val="26"/>
          <w:szCs w:val="26"/>
        </w:rPr>
        <w:t>разующиеся в жилых помещениях в </w:t>
      </w:r>
      <w:r w:rsidRPr="00577CF5">
        <w:rPr>
          <w:sz w:val="26"/>
          <w:szCs w:val="26"/>
        </w:rPr>
        <w:t>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1272" w:rsidRPr="00577CF5" w:rsidRDefault="00561272" w:rsidP="00561272">
      <w:pPr>
        <w:ind w:firstLine="709"/>
        <w:jc w:val="both"/>
        <w:rPr>
          <w:sz w:val="26"/>
          <w:szCs w:val="26"/>
        </w:rPr>
      </w:pPr>
      <w:r w:rsidRPr="00577CF5">
        <w:rPr>
          <w:sz w:val="26"/>
          <w:szCs w:val="26"/>
        </w:rPr>
        <w:t>Исходя из данного понятия Закона № 89-ФЗ принадлежность отходов к ТКО определяется следующими критериями:</w:t>
      </w:r>
    </w:p>
    <w:p w:rsidR="00561272" w:rsidRPr="00577CF5" w:rsidRDefault="00561272" w:rsidP="00561272">
      <w:pPr>
        <w:ind w:firstLine="709"/>
        <w:jc w:val="both"/>
        <w:rPr>
          <w:sz w:val="26"/>
          <w:szCs w:val="26"/>
        </w:rPr>
      </w:pPr>
      <w:r w:rsidRPr="00577CF5">
        <w:rPr>
          <w:sz w:val="26"/>
          <w:szCs w:val="26"/>
        </w:rPr>
        <w:t>1) образование происходит в жилых помещениях;</w:t>
      </w:r>
    </w:p>
    <w:p w:rsidR="00561272" w:rsidRPr="00577CF5" w:rsidRDefault="00561272" w:rsidP="00561272">
      <w:pPr>
        <w:ind w:firstLine="709"/>
        <w:jc w:val="both"/>
        <w:rPr>
          <w:sz w:val="26"/>
          <w:szCs w:val="26"/>
        </w:rPr>
      </w:pPr>
      <w:r w:rsidRPr="00577CF5">
        <w:rPr>
          <w:sz w:val="26"/>
          <w:szCs w:val="26"/>
        </w:rPr>
        <w:t>2) образование происходит в процессе потребления физическими лицами;</w:t>
      </w:r>
    </w:p>
    <w:p w:rsidR="00561272" w:rsidRPr="00577CF5" w:rsidRDefault="00561272" w:rsidP="00561272">
      <w:pPr>
        <w:ind w:firstLine="709"/>
        <w:jc w:val="both"/>
        <w:rPr>
          <w:sz w:val="26"/>
          <w:szCs w:val="26"/>
        </w:rPr>
      </w:pPr>
      <w:r w:rsidRPr="00577CF5">
        <w:rPr>
          <w:sz w:val="26"/>
          <w:szCs w:val="26"/>
        </w:rPr>
        <w:t xml:space="preserve">3) к ТКО относятся также товары, утратившие </w:t>
      </w:r>
      <w:r w:rsidR="00F467BD">
        <w:rPr>
          <w:sz w:val="26"/>
          <w:szCs w:val="26"/>
        </w:rPr>
        <w:t>свои потребительские свойства в </w:t>
      </w:r>
      <w:r w:rsidRPr="00577CF5">
        <w:rPr>
          <w:sz w:val="26"/>
          <w:szCs w:val="26"/>
        </w:rPr>
        <w:t>процессе их использования физическими лицами в жилых помещениях в целях удовлетворения личных и бытовых нужд;</w:t>
      </w:r>
    </w:p>
    <w:p w:rsidR="00561272" w:rsidRPr="00577CF5" w:rsidRDefault="00561272" w:rsidP="00561272">
      <w:pPr>
        <w:ind w:firstLine="709"/>
        <w:jc w:val="both"/>
        <w:rPr>
          <w:sz w:val="26"/>
          <w:szCs w:val="26"/>
        </w:rPr>
      </w:pPr>
      <w:r w:rsidRPr="00577CF5">
        <w:rPr>
          <w:sz w:val="26"/>
          <w:szCs w:val="26"/>
        </w:rPr>
        <w:t>4)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1272" w:rsidRPr="00577CF5" w:rsidRDefault="00561272" w:rsidP="00561272">
      <w:pPr>
        <w:ind w:firstLine="709"/>
        <w:jc w:val="both"/>
        <w:rPr>
          <w:sz w:val="26"/>
          <w:szCs w:val="26"/>
        </w:rPr>
      </w:pPr>
      <w:r w:rsidRPr="00577CF5">
        <w:rPr>
          <w:sz w:val="26"/>
          <w:szCs w:val="26"/>
        </w:rPr>
        <w:t>Федеральный классификационный каталог отходов (далее – ФККО), утверждённый приказом Федеральной службы по надзору в сфере природопользования от 22.05.2017 № 242, состоит из блоков, типов, подтипов и так далее.</w:t>
      </w:r>
    </w:p>
    <w:p w:rsidR="00561272" w:rsidRPr="00577CF5" w:rsidRDefault="00561272" w:rsidP="00561272">
      <w:pPr>
        <w:ind w:firstLine="709"/>
        <w:jc w:val="both"/>
        <w:rPr>
          <w:sz w:val="26"/>
          <w:szCs w:val="26"/>
        </w:rPr>
      </w:pPr>
      <w:r w:rsidRPr="00577CF5">
        <w:rPr>
          <w:sz w:val="26"/>
          <w:szCs w:val="26"/>
        </w:rPr>
        <w:lastRenderedPageBreak/>
        <w:t>Например, в блок 7 «Отходы при водоснабжении,</w:t>
      </w:r>
      <w:r w:rsidR="00F467BD">
        <w:rPr>
          <w:sz w:val="26"/>
          <w:szCs w:val="26"/>
        </w:rPr>
        <w:t xml:space="preserve"> водоотведении, деятельности по </w:t>
      </w:r>
      <w:r w:rsidRPr="00577CF5">
        <w:rPr>
          <w:sz w:val="26"/>
          <w:szCs w:val="26"/>
        </w:rPr>
        <w:t>сбору, обработке, утилизации, обезвреживанию, ра</w:t>
      </w:r>
      <w:r w:rsidR="00F467BD">
        <w:rPr>
          <w:sz w:val="26"/>
          <w:szCs w:val="26"/>
        </w:rPr>
        <w:t>змещению отходов» входит тип 73 </w:t>
      </w:r>
      <w:r w:rsidRPr="00577CF5">
        <w:rPr>
          <w:sz w:val="26"/>
          <w:szCs w:val="26"/>
        </w:rPr>
        <w:t>«Отходы коммунальные, подобные ком</w:t>
      </w:r>
      <w:r w:rsidR="00F467BD">
        <w:rPr>
          <w:sz w:val="26"/>
          <w:szCs w:val="26"/>
        </w:rPr>
        <w:t>мунальным на производстве и при </w:t>
      </w:r>
      <w:r w:rsidRPr="00577CF5">
        <w:rPr>
          <w:sz w:val="26"/>
          <w:szCs w:val="26"/>
        </w:rPr>
        <w:t>предоставлении услуг населению», состоящий, в свою очередь, из подтипов, в том числе 731 «Отходы коммунальные твердые», 733 «Отходы потребления на производстве, подобные коммунальным» и так далее, явно относящихся</w:t>
      </w:r>
      <w:r w:rsidR="00F467BD">
        <w:rPr>
          <w:sz w:val="26"/>
          <w:szCs w:val="26"/>
        </w:rPr>
        <w:t xml:space="preserve"> к ТКО; и в то же время, блок 7 </w:t>
      </w:r>
      <w:r w:rsidRPr="00577CF5">
        <w:rPr>
          <w:sz w:val="26"/>
          <w:szCs w:val="26"/>
        </w:rPr>
        <w:t>содержит подтип 732 «Отходы жизнедеятельности населения в не канализованных зданиях и прочие аналогичные отходы, не относящиеся к твёрдым коммунальным отходам».</w:t>
      </w:r>
    </w:p>
    <w:p w:rsidR="00561272" w:rsidRPr="00577CF5" w:rsidRDefault="00561272" w:rsidP="00561272">
      <w:pPr>
        <w:ind w:firstLine="709"/>
        <w:jc w:val="both"/>
        <w:rPr>
          <w:sz w:val="26"/>
          <w:szCs w:val="26"/>
        </w:rPr>
      </w:pPr>
      <w:r w:rsidRPr="00577CF5">
        <w:rPr>
          <w:sz w:val="26"/>
          <w:szCs w:val="26"/>
        </w:rPr>
        <w:t>Таким образом, к ТКО могут относиться любые виды отходов, входящие в различные блоки ФККО, размещение которых допустимо на специализированных полигонах, а также виды отходов, размещение которых на данных полигонах строго запрещено.</w:t>
      </w:r>
    </w:p>
    <w:p w:rsidR="00561272" w:rsidRPr="00577CF5" w:rsidRDefault="00561272" w:rsidP="00561272">
      <w:pPr>
        <w:ind w:firstLine="709"/>
        <w:jc w:val="both"/>
        <w:rPr>
          <w:sz w:val="26"/>
          <w:szCs w:val="26"/>
        </w:rPr>
      </w:pPr>
      <w:r w:rsidRPr="00577CF5">
        <w:rPr>
          <w:sz w:val="26"/>
          <w:szCs w:val="26"/>
        </w:rPr>
        <w:t>В соответствии со статьёй 1 Градостроительного кодекса Российской Федерации строительство – это создание зданий, строений, сооружений (в том числе на месте сносимых объектов капитального строительства).</w:t>
      </w:r>
    </w:p>
    <w:p w:rsidR="00561272" w:rsidRPr="00577CF5" w:rsidRDefault="00561272" w:rsidP="00561272">
      <w:pPr>
        <w:ind w:firstLine="709"/>
        <w:jc w:val="both"/>
        <w:rPr>
          <w:sz w:val="26"/>
          <w:szCs w:val="26"/>
        </w:rPr>
      </w:pPr>
      <w:r w:rsidRPr="00577CF5">
        <w:rPr>
          <w:sz w:val="26"/>
          <w:szCs w:val="26"/>
        </w:rPr>
        <w:t>В соответствии с пунктом 3.8 Постановления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w:t>
      </w:r>
      <w:r w:rsidR="00F467BD">
        <w:rPr>
          <w:sz w:val="26"/>
          <w:szCs w:val="26"/>
        </w:rPr>
        <w:t>борудования, а также работах по </w:t>
      </w:r>
      <w:r w:rsidRPr="00577CF5">
        <w:rPr>
          <w:sz w:val="26"/>
          <w:szCs w:val="26"/>
        </w:rPr>
        <w:t>устранению мелких повреждений и неисправностей.</w:t>
      </w:r>
    </w:p>
    <w:p w:rsidR="00561272" w:rsidRPr="00577CF5" w:rsidRDefault="00561272" w:rsidP="00561272">
      <w:pPr>
        <w:ind w:firstLine="709"/>
        <w:jc w:val="both"/>
        <w:rPr>
          <w:sz w:val="26"/>
          <w:szCs w:val="26"/>
        </w:rPr>
      </w:pPr>
      <w:r w:rsidRPr="00577CF5">
        <w:rPr>
          <w:sz w:val="26"/>
          <w:szCs w:val="26"/>
        </w:rPr>
        <w:t>В связи с этим, необходимо разделять понятия «строительство» и «текущий ремонт».</w:t>
      </w:r>
    </w:p>
    <w:p w:rsidR="00561272" w:rsidRPr="00577CF5" w:rsidRDefault="00561272" w:rsidP="00561272">
      <w:pPr>
        <w:ind w:firstLine="709"/>
        <w:jc w:val="both"/>
        <w:rPr>
          <w:bCs/>
          <w:sz w:val="26"/>
          <w:szCs w:val="26"/>
        </w:rPr>
      </w:pPr>
      <w:r w:rsidRPr="00577CF5">
        <w:rPr>
          <w:sz w:val="26"/>
          <w:szCs w:val="26"/>
        </w:rPr>
        <w:t xml:space="preserve">На основании вышеизложенного, отходы, образующиеся при строительстве, </w:t>
      </w:r>
      <w:r w:rsidRPr="00577CF5">
        <w:rPr>
          <w:bCs/>
          <w:sz w:val="26"/>
          <w:szCs w:val="26"/>
        </w:rPr>
        <w:t>капитальном ремонте, в том числе при перепланиров</w:t>
      </w:r>
      <w:r w:rsidR="00F467BD">
        <w:rPr>
          <w:bCs/>
          <w:sz w:val="26"/>
          <w:szCs w:val="26"/>
        </w:rPr>
        <w:t>ке жилых помещений, относятся к </w:t>
      </w:r>
      <w:r w:rsidRPr="00577CF5">
        <w:rPr>
          <w:bCs/>
          <w:sz w:val="26"/>
          <w:szCs w:val="26"/>
        </w:rPr>
        <w:t xml:space="preserve">отходам строительства (блок 8 в ФККО), </w:t>
      </w:r>
      <w:r w:rsidR="00C73CDA" w:rsidRPr="00577CF5">
        <w:rPr>
          <w:bCs/>
          <w:sz w:val="26"/>
          <w:szCs w:val="26"/>
        </w:rPr>
        <w:t>а, следовательно</w:t>
      </w:r>
      <w:r w:rsidRPr="00577CF5">
        <w:rPr>
          <w:bCs/>
          <w:sz w:val="26"/>
          <w:szCs w:val="26"/>
        </w:rPr>
        <w:t>, не являются твердыми коммунальными отходами.</w:t>
      </w:r>
    </w:p>
    <w:p w:rsidR="00561272" w:rsidRPr="00577CF5" w:rsidRDefault="00561272" w:rsidP="00561272">
      <w:pPr>
        <w:ind w:firstLine="709"/>
        <w:jc w:val="both"/>
        <w:rPr>
          <w:bCs/>
          <w:sz w:val="26"/>
          <w:szCs w:val="26"/>
        </w:rPr>
      </w:pPr>
      <w:r w:rsidRPr="00577CF5">
        <w:rPr>
          <w:bCs/>
          <w:sz w:val="26"/>
          <w:szCs w:val="26"/>
        </w:rPr>
        <w:t>Работы по замене отдельных участков</w:t>
      </w:r>
      <w:r w:rsidR="00F467BD">
        <w:rPr>
          <w:bCs/>
          <w:sz w:val="26"/>
          <w:szCs w:val="26"/>
        </w:rPr>
        <w:t xml:space="preserve"> и элементов балконов, замене и </w:t>
      </w:r>
      <w:r w:rsidRPr="00577CF5">
        <w:rPr>
          <w:bCs/>
          <w:sz w:val="26"/>
          <w:szCs w:val="26"/>
        </w:rPr>
        <w:t xml:space="preserve">восстановлению работоспособности отдельных элементов и частей элементов внутренних систем водопроводов и канализации, согласно указанного выше постановления относятся к работам по текущему ремонту. Следовательно, отходы, образующиеся в ходе выполнения текущего ремонта, являются твердыми коммунальными отходами, и относятся к </w:t>
      </w:r>
      <w:proofErr w:type="spellStart"/>
      <w:r w:rsidRPr="00577CF5">
        <w:rPr>
          <w:bCs/>
          <w:sz w:val="26"/>
          <w:szCs w:val="26"/>
        </w:rPr>
        <w:t>крупногарабитным</w:t>
      </w:r>
      <w:proofErr w:type="spellEnd"/>
      <w:r w:rsidRPr="00577CF5">
        <w:rPr>
          <w:bCs/>
          <w:sz w:val="26"/>
          <w:szCs w:val="26"/>
        </w:rPr>
        <w:t xml:space="preserve"> отходам.</w:t>
      </w:r>
    </w:p>
    <w:p w:rsidR="00561272" w:rsidRPr="00577CF5" w:rsidRDefault="00561272" w:rsidP="00561272">
      <w:pPr>
        <w:ind w:firstLine="709"/>
        <w:jc w:val="both"/>
        <w:rPr>
          <w:sz w:val="26"/>
          <w:szCs w:val="26"/>
        </w:rPr>
      </w:pPr>
      <w:r w:rsidRPr="00577CF5">
        <w:rPr>
          <w:sz w:val="26"/>
          <w:szCs w:val="26"/>
        </w:rPr>
        <w:t>Что касается обращения с крупногабаритными отходами, обращение с данным видом отходов предусмотрено постановлением Правит</w:t>
      </w:r>
      <w:r w:rsidR="00F467BD">
        <w:rPr>
          <w:sz w:val="26"/>
          <w:szCs w:val="26"/>
        </w:rPr>
        <w:t>ельства Российской Федерации от </w:t>
      </w:r>
      <w:r w:rsidRPr="00577CF5">
        <w:rPr>
          <w:sz w:val="26"/>
          <w:szCs w:val="26"/>
        </w:rPr>
        <w:t>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561272" w:rsidRPr="00577CF5" w:rsidRDefault="00561272" w:rsidP="00561272">
      <w:pPr>
        <w:ind w:firstLine="709"/>
        <w:jc w:val="both"/>
        <w:rPr>
          <w:sz w:val="26"/>
          <w:szCs w:val="26"/>
        </w:rPr>
      </w:pPr>
      <w:r w:rsidRPr="00577CF5">
        <w:rPr>
          <w:sz w:val="26"/>
          <w:szCs w:val="26"/>
        </w:rPr>
        <w:t>В соответствии с договором на оказание услуг по обращению с ТКО в местах сбора и накопления ТКО складирование крупногабаритных отходов осуществляется потребителями следующими способами:</w:t>
      </w:r>
    </w:p>
    <w:p w:rsidR="00561272" w:rsidRPr="00577CF5" w:rsidRDefault="00561272" w:rsidP="00561272">
      <w:pPr>
        <w:ind w:firstLine="709"/>
        <w:jc w:val="both"/>
        <w:rPr>
          <w:sz w:val="26"/>
          <w:szCs w:val="26"/>
        </w:rPr>
      </w:pPr>
      <w:r w:rsidRPr="00577CF5">
        <w:rPr>
          <w:sz w:val="26"/>
          <w:szCs w:val="26"/>
        </w:rPr>
        <w:t>а) в бункеры, расположенные на контейнерных площадках;</w:t>
      </w:r>
    </w:p>
    <w:p w:rsidR="00561272" w:rsidRPr="00577CF5" w:rsidRDefault="00561272" w:rsidP="00561272">
      <w:pPr>
        <w:ind w:firstLine="709"/>
        <w:jc w:val="both"/>
        <w:rPr>
          <w:sz w:val="26"/>
          <w:szCs w:val="26"/>
        </w:rPr>
      </w:pPr>
      <w:r w:rsidRPr="00577CF5">
        <w:rPr>
          <w:sz w:val="26"/>
          <w:szCs w:val="26"/>
        </w:rPr>
        <w:t>б) на специальных площадках для складирования крупногабаритных отходов.</w:t>
      </w:r>
    </w:p>
    <w:p w:rsidR="00561272" w:rsidRPr="00577CF5" w:rsidRDefault="00561272" w:rsidP="00561272">
      <w:pPr>
        <w:ind w:firstLine="709"/>
        <w:jc w:val="both"/>
        <w:rPr>
          <w:sz w:val="26"/>
          <w:szCs w:val="26"/>
        </w:rPr>
      </w:pPr>
      <w:r w:rsidRPr="00577CF5">
        <w:rPr>
          <w:sz w:val="26"/>
          <w:szCs w:val="26"/>
        </w:rPr>
        <w:t>Вывоз крупногабаритных отходов обеспечивается в соответствии с законодательством Российской Федерации региональным оператором по </w:t>
      </w:r>
      <w:r w:rsidR="00F467BD" w:rsidRPr="00577CF5">
        <w:rPr>
          <w:sz w:val="26"/>
          <w:szCs w:val="26"/>
        </w:rPr>
        <w:t xml:space="preserve">обращению </w:t>
      </w:r>
      <w:r w:rsidR="00F467BD">
        <w:rPr>
          <w:sz w:val="26"/>
          <w:szCs w:val="26"/>
        </w:rPr>
        <w:t>с </w:t>
      </w:r>
      <w:r w:rsidRPr="00577CF5">
        <w:rPr>
          <w:sz w:val="26"/>
          <w:szCs w:val="26"/>
        </w:rPr>
        <w:t xml:space="preserve">ТКО (далее – региональный оператор), в том числе по заявкам потребителей, либо </w:t>
      </w:r>
      <w:r w:rsidRPr="00577CF5">
        <w:rPr>
          <w:sz w:val="26"/>
          <w:szCs w:val="26"/>
        </w:rPr>
        <w:lastRenderedPageBreak/>
        <w:t>самостоятельно потребителями путем доставки крупногабаритных отходов на площадку для их складирования.</w:t>
      </w:r>
    </w:p>
    <w:p w:rsidR="00561272" w:rsidRPr="00577CF5" w:rsidRDefault="00561272" w:rsidP="00561272">
      <w:pPr>
        <w:ind w:firstLine="709"/>
        <w:jc w:val="both"/>
        <w:rPr>
          <w:sz w:val="26"/>
          <w:szCs w:val="26"/>
        </w:rPr>
      </w:pPr>
      <w:r w:rsidRPr="00577CF5">
        <w:rPr>
          <w:sz w:val="26"/>
          <w:szCs w:val="26"/>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rsidR="00561272" w:rsidRPr="00577CF5" w:rsidRDefault="00561272" w:rsidP="00561272">
      <w:pPr>
        <w:ind w:firstLine="709"/>
        <w:jc w:val="both"/>
        <w:rPr>
          <w:sz w:val="26"/>
          <w:szCs w:val="26"/>
        </w:rPr>
      </w:pPr>
      <w:r w:rsidRPr="00577CF5">
        <w:rPr>
          <w:sz w:val="26"/>
          <w:szCs w:val="26"/>
        </w:rPr>
        <w:t>Региональный оператор несет ответственность за обращение с ТКО с момента погрузки таких отходов в мусоровоз в местах сбора и накопления ТКО.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w:t>
      </w:r>
      <w:r w:rsidR="00F467BD">
        <w:rPr>
          <w:sz w:val="26"/>
          <w:szCs w:val="26"/>
        </w:rPr>
        <w:t xml:space="preserve"> несут собственники помещений в </w:t>
      </w:r>
      <w:r w:rsidRPr="00577CF5">
        <w:rPr>
          <w:sz w:val="26"/>
          <w:szCs w:val="26"/>
        </w:rPr>
        <w:t>многоквартирном доме.</w:t>
      </w:r>
    </w:p>
    <w:p w:rsidR="00561272" w:rsidRPr="00577CF5" w:rsidRDefault="00561272" w:rsidP="00561272">
      <w:pPr>
        <w:ind w:firstLine="709"/>
        <w:jc w:val="both"/>
        <w:rPr>
          <w:sz w:val="26"/>
          <w:szCs w:val="26"/>
        </w:rPr>
      </w:pPr>
      <w:r w:rsidRPr="00577CF5">
        <w:rPr>
          <w:rFonts w:ascii="Liberation Serif" w:hAnsi="Liberation Serif" w:cs="Liberation Serif"/>
          <w:sz w:val="26"/>
          <w:szCs w:val="26"/>
        </w:rPr>
        <w:t xml:space="preserve">4. </w:t>
      </w:r>
      <w:r w:rsidRPr="00577CF5">
        <w:rPr>
          <w:sz w:val="26"/>
          <w:szCs w:val="26"/>
        </w:rPr>
        <w:t xml:space="preserve">Письмом Министерства строительства и жилищно-коммунального хозяйства Российской Федерации о разъяснении положений </w:t>
      </w:r>
      <w:r w:rsidR="00F467BD">
        <w:rPr>
          <w:sz w:val="26"/>
          <w:szCs w:val="26"/>
        </w:rPr>
        <w:t>действующего законодательства в </w:t>
      </w:r>
      <w:r w:rsidRPr="00577CF5">
        <w:rPr>
          <w:sz w:val="26"/>
          <w:szCs w:val="26"/>
        </w:rPr>
        <w:t>области обращения с твердыми коммунальными отходами от 18 мая 2018 года предусмотрено, что понятийным аппаратом Федерального закона от 24 июня 1998 года № 89-ФЗ «Об отходах производства и потребления» (далее – Федеральный закон № 89) определено, что к твердым коммунальным отходам о</w:t>
      </w:r>
      <w:r w:rsidR="00F467BD">
        <w:rPr>
          <w:sz w:val="26"/>
          <w:szCs w:val="26"/>
        </w:rPr>
        <w:t>тносятся отходы, образующиеся в </w:t>
      </w:r>
      <w:r w:rsidRPr="00577CF5">
        <w:rPr>
          <w:sz w:val="26"/>
          <w:szCs w:val="26"/>
        </w:rPr>
        <w:t>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w:t>
      </w:r>
      <w:r w:rsidR="00F467BD">
        <w:rPr>
          <w:sz w:val="26"/>
          <w:szCs w:val="26"/>
        </w:rPr>
        <w:t>орения личных и бытовых нужд. К </w:t>
      </w:r>
      <w:r w:rsidRPr="00577CF5">
        <w:rPr>
          <w:sz w:val="26"/>
          <w:szCs w:val="26"/>
        </w:rPr>
        <w:t>твердым коммунальным отходам также относятся отходы, образующиеся в процессе деятельности юридических лиц, индивидуальных</w:t>
      </w:r>
      <w:r w:rsidR="00F467BD">
        <w:rPr>
          <w:sz w:val="26"/>
          <w:szCs w:val="26"/>
        </w:rPr>
        <w:t xml:space="preserve"> предпринимателей и подобные по </w:t>
      </w:r>
      <w:r w:rsidRPr="00577CF5">
        <w:rPr>
          <w:sz w:val="26"/>
          <w:szCs w:val="26"/>
        </w:rPr>
        <w:t>составу отходам, образующимся в жилых помещениях в процессе потребления физическими лицами.</w:t>
      </w:r>
    </w:p>
    <w:p w:rsidR="00561272" w:rsidRPr="00577CF5" w:rsidRDefault="00561272" w:rsidP="00561272">
      <w:pPr>
        <w:ind w:firstLine="709"/>
        <w:jc w:val="both"/>
        <w:rPr>
          <w:sz w:val="26"/>
          <w:szCs w:val="26"/>
        </w:rPr>
      </w:pPr>
      <w:r w:rsidRPr="00577CF5">
        <w:rPr>
          <w:sz w:val="26"/>
          <w:szCs w:val="26"/>
        </w:rPr>
        <w:t>В соответствии с Федеральным классификационным каталогом отходов, утвержденным приказом Федеральной службы по надзору в сфере природопользования от 22 мая 2017 года № 242 (далее – ФККО), группа отходов «Отходы от уборки территории городских и сельских поселений, относящиеся к твердым коммунальным отходам» (код по ФККО 7 31 200 00 00 0) включает виды отходов – мусор и смет уличный, мусор и смет от уборки парков, скверов, зон массово</w:t>
      </w:r>
      <w:r w:rsidR="00F467BD">
        <w:rPr>
          <w:sz w:val="26"/>
          <w:szCs w:val="26"/>
        </w:rPr>
        <w:t>го отдыха, набережных, пляжей и </w:t>
      </w:r>
      <w:r w:rsidRPr="00577CF5">
        <w:rPr>
          <w:sz w:val="26"/>
          <w:szCs w:val="26"/>
        </w:rPr>
        <w:t xml:space="preserve">других объектов благоустройства, отходы от уборки территорий кладбищ, колумбариев, отходы от уборки </w:t>
      </w:r>
      <w:proofErr w:type="spellStart"/>
      <w:r w:rsidRPr="00577CF5">
        <w:rPr>
          <w:sz w:val="26"/>
          <w:szCs w:val="26"/>
        </w:rPr>
        <w:t>прибордюрной</w:t>
      </w:r>
      <w:proofErr w:type="spellEnd"/>
      <w:r w:rsidRPr="00577CF5">
        <w:rPr>
          <w:sz w:val="26"/>
          <w:szCs w:val="26"/>
        </w:rPr>
        <w:t xml:space="preserve"> зоны автомобильных дорог.</w:t>
      </w:r>
    </w:p>
    <w:p w:rsidR="00561272" w:rsidRPr="00577CF5" w:rsidRDefault="00561272" w:rsidP="00561272">
      <w:pPr>
        <w:ind w:firstLine="709"/>
        <w:jc w:val="both"/>
        <w:rPr>
          <w:sz w:val="26"/>
          <w:szCs w:val="26"/>
        </w:rPr>
      </w:pPr>
      <w:r w:rsidRPr="00577CF5">
        <w:rPr>
          <w:sz w:val="26"/>
          <w:szCs w:val="26"/>
        </w:rPr>
        <w:t>В соответствии со статьей 24.6. Федерального закона № 89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года № 1156, тер</w:t>
      </w:r>
      <w:r w:rsidR="00F467BD">
        <w:rPr>
          <w:sz w:val="26"/>
          <w:szCs w:val="26"/>
        </w:rPr>
        <w:t>риториальной схемой обращения с </w:t>
      </w:r>
      <w:r w:rsidRPr="00577CF5">
        <w:rPr>
          <w:sz w:val="26"/>
          <w:szCs w:val="26"/>
        </w:rPr>
        <w:t xml:space="preserve">отходами производства и потребления, в том числе с твердыми коммунальными отходами, региональной программой в области обращения с </w:t>
      </w:r>
      <w:r w:rsidR="00F467BD">
        <w:rPr>
          <w:sz w:val="26"/>
          <w:szCs w:val="26"/>
        </w:rPr>
        <w:t>отходами, в том числе с </w:t>
      </w:r>
      <w:r w:rsidRPr="00577CF5">
        <w:rPr>
          <w:sz w:val="26"/>
          <w:szCs w:val="26"/>
        </w:rPr>
        <w:t xml:space="preserve">твердыми коммунальными отходами, утвержденными в установленном порядке субъектом Российской Федерации. </w:t>
      </w:r>
    </w:p>
    <w:p w:rsidR="00561272" w:rsidRPr="00577CF5" w:rsidRDefault="00561272" w:rsidP="00561272">
      <w:pPr>
        <w:ind w:firstLine="709"/>
        <w:jc w:val="both"/>
        <w:rPr>
          <w:sz w:val="26"/>
          <w:szCs w:val="26"/>
        </w:rPr>
      </w:pPr>
      <w:r w:rsidRPr="00577CF5">
        <w:rPr>
          <w:sz w:val="26"/>
          <w:szCs w:val="26"/>
        </w:rPr>
        <w:t xml:space="preserve">Исходя из комплексного </w:t>
      </w:r>
      <w:proofErr w:type="spellStart"/>
      <w:r w:rsidRPr="00577CF5">
        <w:rPr>
          <w:sz w:val="26"/>
          <w:szCs w:val="26"/>
        </w:rPr>
        <w:t>трактования</w:t>
      </w:r>
      <w:proofErr w:type="spellEnd"/>
      <w:r w:rsidRPr="00577CF5">
        <w:rPr>
          <w:sz w:val="26"/>
          <w:szCs w:val="26"/>
        </w:rPr>
        <w:t xml:space="preserve"> норм федерального законодательства, отходы, образующиеся при уборке территорий городских и сельских поселений, относятся к твердым коммунальным отходам. Соответственно, их сбор, транспортирование, обработка, утилизация, обезвреживание, захоронение на территории субъекта Российской Федерации обеспечиваются региональными операторами.</w:t>
      </w:r>
    </w:p>
    <w:p w:rsidR="00AF2907" w:rsidRPr="00577CF5" w:rsidRDefault="00C73CDA" w:rsidP="00C73CDA">
      <w:pPr>
        <w:jc w:val="both"/>
        <w:rPr>
          <w:rFonts w:ascii="Liberation Serif" w:hAnsi="Liberation Serif" w:cs="Liberation Serif"/>
          <w:bCs/>
          <w:sz w:val="26"/>
          <w:szCs w:val="26"/>
        </w:rPr>
      </w:pPr>
      <w:r w:rsidRPr="00577CF5">
        <w:rPr>
          <w:rFonts w:ascii="Liberation Serif" w:hAnsi="Liberation Serif" w:cs="Liberation Serif"/>
          <w:bCs/>
          <w:sz w:val="26"/>
          <w:szCs w:val="26"/>
        </w:rPr>
        <w:lastRenderedPageBreak/>
        <w:tab/>
        <w:t>Министерством дано поручение региональным о</w:t>
      </w:r>
      <w:r w:rsidR="00F467BD">
        <w:rPr>
          <w:rFonts w:ascii="Liberation Serif" w:hAnsi="Liberation Serif" w:cs="Liberation Serif"/>
          <w:bCs/>
          <w:sz w:val="26"/>
          <w:szCs w:val="26"/>
        </w:rPr>
        <w:t>ператорам проработать вопрос по </w:t>
      </w:r>
      <w:r w:rsidRPr="00577CF5">
        <w:rPr>
          <w:rFonts w:ascii="Liberation Serif" w:hAnsi="Liberation Serif" w:cs="Liberation Serif"/>
          <w:bCs/>
          <w:sz w:val="26"/>
          <w:szCs w:val="26"/>
        </w:rPr>
        <w:t xml:space="preserve">заключению </w:t>
      </w:r>
      <w:r w:rsidR="006B5AE3">
        <w:rPr>
          <w:rFonts w:ascii="Liberation Serif" w:hAnsi="Liberation Serif" w:cs="Liberation Serif"/>
          <w:bCs/>
          <w:sz w:val="26"/>
          <w:szCs w:val="26"/>
        </w:rPr>
        <w:t>договоров в сфере обращения твердых коммунальных отходов на уборку территорий</w:t>
      </w:r>
      <w:r w:rsidRPr="00577CF5">
        <w:rPr>
          <w:rFonts w:ascii="Liberation Serif" w:hAnsi="Liberation Serif" w:cs="Liberation Serif"/>
          <w:bCs/>
          <w:sz w:val="26"/>
          <w:szCs w:val="26"/>
        </w:rPr>
        <w:t xml:space="preserve"> с муниципальными образованиями </w:t>
      </w:r>
      <w:r w:rsidR="00577CF5">
        <w:rPr>
          <w:rFonts w:ascii="Liberation Serif" w:hAnsi="Liberation Serif" w:cs="Liberation Serif"/>
          <w:bCs/>
          <w:sz w:val="26"/>
          <w:szCs w:val="26"/>
        </w:rPr>
        <w:t>С</w:t>
      </w:r>
      <w:r w:rsidRPr="00577CF5">
        <w:rPr>
          <w:rFonts w:ascii="Liberation Serif" w:hAnsi="Liberation Serif" w:cs="Liberation Serif"/>
          <w:bCs/>
          <w:sz w:val="26"/>
          <w:szCs w:val="26"/>
        </w:rPr>
        <w:t xml:space="preserve">вердловской области в рамках </w:t>
      </w:r>
      <w:r w:rsidR="006B5AE3">
        <w:rPr>
          <w:rFonts w:ascii="Liberation Serif" w:hAnsi="Liberation Serif" w:cs="Liberation Serif"/>
          <w:bCs/>
          <w:sz w:val="26"/>
          <w:szCs w:val="26"/>
        </w:rPr>
        <w:t xml:space="preserve">запланированных </w:t>
      </w:r>
      <w:r w:rsidRPr="00577CF5">
        <w:rPr>
          <w:rFonts w:ascii="Liberation Serif" w:hAnsi="Liberation Serif" w:cs="Liberation Serif"/>
          <w:bCs/>
          <w:sz w:val="26"/>
          <w:szCs w:val="26"/>
        </w:rPr>
        <w:t>бюджетных ассигнований на</w:t>
      </w:r>
      <w:r w:rsidR="006B5AE3">
        <w:rPr>
          <w:rFonts w:ascii="Liberation Serif" w:hAnsi="Liberation Serif" w:cs="Liberation Serif"/>
          <w:bCs/>
          <w:sz w:val="26"/>
          <w:szCs w:val="26"/>
        </w:rPr>
        <w:t xml:space="preserve"> 2019</w:t>
      </w:r>
      <w:r w:rsidRPr="00577CF5">
        <w:rPr>
          <w:rFonts w:ascii="Liberation Serif" w:hAnsi="Liberation Serif" w:cs="Liberation Serif"/>
          <w:bCs/>
          <w:sz w:val="26"/>
          <w:szCs w:val="26"/>
        </w:rPr>
        <w:t xml:space="preserve"> финансовый год.</w:t>
      </w:r>
    </w:p>
    <w:p w:rsidR="00BF73C3" w:rsidRDefault="00BF73C3">
      <w:pPr>
        <w:rPr>
          <w:rFonts w:ascii="Liberation Serif" w:hAnsi="Liberation Serif" w:cs="Liberation Serif"/>
          <w:sz w:val="26"/>
          <w:szCs w:val="26"/>
        </w:rPr>
      </w:pPr>
    </w:p>
    <w:p w:rsidR="00A167BB" w:rsidRPr="00577CF5" w:rsidRDefault="00A167BB">
      <w:pPr>
        <w:rPr>
          <w:rFonts w:ascii="Liberation Serif" w:hAnsi="Liberation Serif" w:cs="Liberation Serif"/>
          <w:sz w:val="26"/>
          <w:szCs w:val="26"/>
        </w:rPr>
      </w:pPr>
    </w:p>
    <w:tbl>
      <w:tblPr>
        <w:tblW w:w="13962" w:type="dxa"/>
        <w:tblInd w:w="-142" w:type="dxa"/>
        <w:tblLook w:val="00A0" w:firstRow="1" w:lastRow="0" w:firstColumn="1" w:lastColumn="0" w:noHBand="0" w:noVBand="0"/>
      </w:tblPr>
      <w:tblGrid>
        <w:gridCol w:w="10423"/>
        <w:gridCol w:w="1294"/>
        <w:gridCol w:w="1294"/>
        <w:gridCol w:w="951"/>
      </w:tblGrid>
      <w:tr w:rsidR="00557CA3" w:rsidRPr="00577CF5" w:rsidTr="00557CA3">
        <w:trPr>
          <w:trHeight w:val="300"/>
        </w:trPr>
        <w:tc>
          <w:tcPr>
            <w:tcW w:w="3828" w:type="dxa"/>
          </w:tcPr>
          <w:tbl>
            <w:tblPr>
              <w:tblW w:w="10207" w:type="dxa"/>
              <w:tblLook w:val="00A0" w:firstRow="1" w:lastRow="0" w:firstColumn="1" w:lastColumn="0" w:noHBand="0" w:noVBand="0"/>
            </w:tblPr>
            <w:tblGrid>
              <w:gridCol w:w="3828"/>
              <w:gridCol w:w="3755"/>
              <w:gridCol w:w="2624"/>
            </w:tblGrid>
            <w:tr w:rsidR="00557CA3" w:rsidRPr="00577CF5" w:rsidTr="002C586F">
              <w:trPr>
                <w:trHeight w:val="300"/>
              </w:trPr>
              <w:tc>
                <w:tcPr>
                  <w:tcW w:w="3828" w:type="dxa"/>
                </w:tcPr>
                <w:p w:rsidR="00557CA3" w:rsidRPr="00577CF5" w:rsidRDefault="004A4F55" w:rsidP="004A4F55">
                  <w:pPr>
                    <w:suppressAutoHyphens/>
                    <w:rPr>
                      <w:rFonts w:ascii="Liberation Serif" w:hAnsi="Liberation Serif" w:cs="Liberation Serif"/>
                      <w:sz w:val="26"/>
                      <w:szCs w:val="26"/>
                      <w:lang w:eastAsia="en-US"/>
                    </w:rPr>
                  </w:pPr>
                  <w:r>
                    <w:rPr>
                      <w:rFonts w:ascii="Liberation Serif" w:hAnsi="Liberation Serif" w:cs="Liberation Serif"/>
                      <w:sz w:val="26"/>
                      <w:szCs w:val="26"/>
                      <w:lang w:eastAsia="en-US"/>
                    </w:rPr>
                    <w:t>М</w:t>
                  </w:r>
                  <w:r w:rsidR="00557CA3" w:rsidRPr="00577CF5">
                    <w:rPr>
                      <w:rFonts w:ascii="Liberation Serif" w:hAnsi="Liberation Serif" w:cs="Liberation Serif"/>
                      <w:sz w:val="26"/>
                      <w:szCs w:val="26"/>
                      <w:lang w:eastAsia="en-US"/>
                    </w:rPr>
                    <w:t>инистр</w:t>
                  </w:r>
                </w:p>
              </w:tc>
              <w:tc>
                <w:tcPr>
                  <w:tcW w:w="3755" w:type="dxa"/>
                </w:tcPr>
                <w:p w:rsidR="00557CA3" w:rsidRPr="00577CF5" w:rsidRDefault="00557CA3" w:rsidP="00557CA3">
                  <w:pPr>
                    <w:rPr>
                      <w:rFonts w:ascii="Liberation Serif" w:hAnsi="Liberation Serif" w:cs="Liberation Serif"/>
                      <w:sz w:val="26"/>
                      <w:szCs w:val="26"/>
                      <w:lang w:eastAsia="en-US"/>
                    </w:rPr>
                  </w:pPr>
                </w:p>
                <w:p w:rsidR="00557CA3" w:rsidRPr="00577CF5" w:rsidRDefault="00557CA3" w:rsidP="00557CA3">
                  <w:pPr>
                    <w:rPr>
                      <w:rFonts w:ascii="Liberation Serif" w:hAnsi="Liberation Serif" w:cs="Liberation Serif"/>
                      <w:sz w:val="26"/>
                      <w:szCs w:val="26"/>
                      <w:lang w:eastAsia="en-US"/>
                    </w:rPr>
                  </w:pPr>
                  <w:r w:rsidRPr="00577CF5">
                    <w:rPr>
                      <w:rFonts w:ascii="Liberation Serif" w:hAnsi="Liberation Serif" w:cs="Liberation Serif"/>
                      <w:sz w:val="26"/>
                      <w:szCs w:val="26"/>
                      <w:lang w:eastAsia="en-US"/>
                    </w:rPr>
                    <w:t>%</w:t>
                  </w:r>
                  <w:r w:rsidRPr="00577CF5">
                    <w:rPr>
                      <w:rFonts w:ascii="Liberation Serif" w:hAnsi="Liberation Serif" w:cs="Liberation Serif"/>
                      <w:sz w:val="26"/>
                      <w:szCs w:val="26"/>
                      <w:lang w:val="en-US" w:eastAsia="en-US"/>
                    </w:rPr>
                    <w:t>SIGN</w:t>
                  </w:r>
                  <w:r w:rsidRPr="00577CF5">
                    <w:rPr>
                      <w:rFonts w:ascii="Liberation Serif" w:hAnsi="Liberation Serif" w:cs="Liberation Serif"/>
                      <w:sz w:val="26"/>
                      <w:szCs w:val="26"/>
                      <w:lang w:eastAsia="en-US"/>
                    </w:rPr>
                    <w:t>_</w:t>
                  </w:r>
                  <w:r w:rsidRPr="00577CF5">
                    <w:rPr>
                      <w:rFonts w:ascii="Liberation Serif" w:hAnsi="Liberation Serif" w:cs="Liberation Serif"/>
                      <w:sz w:val="26"/>
                      <w:szCs w:val="26"/>
                      <w:lang w:val="en-US" w:eastAsia="en-US"/>
                    </w:rPr>
                    <w:t>STAMP</w:t>
                  </w:r>
                  <w:r w:rsidRPr="00577CF5">
                    <w:rPr>
                      <w:rFonts w:ascii="Liberation Serif" w:hAnsi="Liberation Serif" w:cs="Liberation Serif"/>
                      <w:sz w:val="26"/>
                      <w:szCs w:val="26"/>
                      <w:lang w:eastAsia="en-US"/>
                    </w:rPr>
                    <w:t>%</w:t>
                  </w:r>
                </w:p>
              </w:tc>
              <w:tc>
                <w:tcPr>
                  <w:tcW w:w="2624" w:type="dxa"/>
                </w:tcPr>
                <w:p w:rsidR="00557CA3" w:rsidRPr="00577CF5" w:rsidRDefault="004A4F55" w:rsidP="004A4F55">
                  <w:pPr>
                    <w:jc w:val="right"/>
                    <w:rPr>
                      <w:rFonts w:ascii="Liberation Serif" w:hAnsi="Liberation Serif" w:cs="Liberation Serif"/>
                      <w:sz w:val="26"/>
                      <w:szCs w:val="26"/>
                      <w:lang w:eastAsia="en-US"/>
                    </w:rPr>
                  </w:pPr>
                  <w:r>
                    <w:rPr>
                      <w:rFonts w:ascii="Liberation Serif" w:hAnsi="Liberation Serif" w:cs="Liberation Serif"/>
                      <w:sz w:val="26"/>
                      <w:szCs w:val="26"/>
                      <w:lang w:eastAsia="en-US"/>
                    </w:rPr>
                    <w:t>Н.Б</w:t>
                  </w:r>
                  <w:r w:rsidR="00577CF5" w:rsidRPr="00577CF5">
                    <w:rPr>
                      <w:rFonts w:ascii="Liberation Serif" w:hAnsi="Liberation Serif" w:cs="Liberation Serif"/>
                      <w:sz w:val="26"/>
                      <w:szCs w:val="26"/>
                      <w:lang w:eastAsia="en-US"/>
                    </w:rPr>
                    <w:t>. С</w:t>
                  </w:r>
                  <w:r>
                    <w:rPr>
                      <w:rFonts w:ascii="Liberation Serif" w:hAnsi="Liberation Serif" w:cs="Liberation Serif"/>
                      <w:sz w:val="26"/>
                      <w:szCs w:val="26"/>
                      <w:lang w:eastAsia="en-US"/>
                    </w:rPr>
                    <w:t>мирнов</w:t>
                  </w:r>
                </w:p>
              </w:tc>
            </w:tr>
          </w:tbl>
          <w:p w:rsidR="00557CA3" w:rsidRPr="00577CF5" w:rsidRDefault="00557CA3" w:rsidP="00557CA3">
            <w:pPr>
              <w:suppressAutoHyphens/>
              <w:rPr>
                <w:rFonts w:ascii="Liberation Serif" w:hAnsi="Liberation Serif" w:cs="Liberation Serif"/>
                <w:sz w:val="26"/>
                <w:szCs w:val="26"/>
                <w:lang w:eastAsia="en-US"/>
              </w:rPr>
            </w:pPr>
          </w:p>
        </w:tc>
        <w:tc>
          <w:tcPr>
            <w:tcW w:w="3755" w:type="dxa"/>
          </w:tcPr>
          <w:p w:rsidR="00557CA3" w:rsidRPr="00577CF5" w:rsidRDefault="00557CA3" w:rsidP="00557CA3">
            <w:pPr>
              <w:rPr>
                <w:rFonts w:ascii="Liberation Serif" w:hAnsi="Liberation Serif" w:cs="Liberation Serif"/>
                <w:sz w:val="26"/>
                <w:szCs w:val="26"/>
                <w:lang w:eastAsia="en-US"/>
              </w:rPr>
            </w:pPr>
          </w:p>
        </w:tc>
        <w:tc>
          <w:tcPr>
            <w:tcW w:w="3755" w:type="dxa"/>
          </w:tcPr>
          <w:p w:rsidR="00557CA3" w:rsidRPr="00577CF5" w:rsidRDefault="00557CA3" w:rsidP="00557CA3">
            <w:pPr>
              <w:rPr>
                <w:rFonts w:ascii="Liberation Serif" w:hAnsi="Liberation Serif" w:cs="Liberation Serif"/>
                <w:sz w:val="26"/>
                <w:szCs w:val="26"/>
                <w:lang w:eastAsia="en-US"/>
              </w:rPr>
            </w:pPr>
          </w:p>
        </w:tc>
        <w:tc>
          <w:tcPr>
            <w:tcW w:w="2624" w:type="dxa"/>
          </w:tcPr>
          <w:p w:rsidR="00557CA3" w:rsidRPr="00577CF5" w:rsidRDefault="00557CA3" w:rsidP="00557CA3">
            <w:pPr>
              <w:jc w:val="center"/>
              <w:rPr>
                <w:rFonts w:ascii="Liberation Serif" w:hAnsi="Liberation Serif" w:cs="Liberation Serif"/>
                <w:sz w:val="26"/>
                <w:szCs w:val="26"/>
                <w:lang w:eastAsia="en-US"/>
              </w:rPr>
            </w:pPr>
          </w:p>
        </w:tc>
      </w:tr>
    </w:tbl>
    <w:p w:rsidR="00F17ACD" w:rsidRPr="00577CF5" w:rsidRDefault="00F17ACD" w:rsidP="004F684B">
      <w:pPr>
        <w:pStyle w:val="a4"/>
        <w:ind w:firstLine="684"/>
        <w:contextualSpacing/>
        <w:jc w:val="center"/>
        <w:rPr>
          <w:sz w:val="26"/>
          <w:szCs w:val="26"/>
        </w:rPr>
      </w:pPr>
    </w:p>
    <w:p w:rsidR="00F17ACD" w:rsidRPr="00577CF5" w:rsidRDefault="00F17ACD" w:rsidP="004F684B">
      <w:pPr>
        <w:pStyle w:val="a4"/>
        <w:ind w:firstLine="684"/>
        <w:contextualSpacing/>
        <w:jc w:val="center"/>
        <w:rPr>
          <w:sz w:val="26"/>
          <w:szCs w:val="26"/>
        </w:rPr>
      </w:pPr>
    </w:p>
    <w:p w:rsidR="004C1BAB" w:rsidRPr="00577CF5" w:rsidRDefault="009C7A49" w:rsidP="004F684B">
      <w:pPr>
        <w:pStyle w:val="a4"/>
        <w:ind w:firstLine="684"/>
        <w:contextualSpacing/>
        <w:jc w:val="center"/>
        <w:rPr>
          <w:sz w:val="26"/>
          <w:szCs w:val="26"/>
        </w:rPr>
      </w:pPr>
      <w:bookmarkStart w:id="0" w:name="_GoBack"/>
      <w:bookmarkEnd w:id="0"/>
      <w:r w:rsidRPr="00577CF5">
        <w:rPr>
          <w:noProof/>
          <w:sz w:val="26"/>
          <w:szCs w:val="26"/>
        </w:rPr>
        <mc:AlternateContent>
          <mc:Choice Requires="wps">
            <w:drawing>
              <wp:anchor distT="0" distB="0" distL="114300" distR="114300" simplePos="0" relativeHeight="251668480" behindDoc="0" locked="0" layoutInCell="1" allowOverlap="0" wp14:anchorId="24C95036" wp14:editId="5A16FE02">
                <wp:simplePos x="0" y="0"/>
                <wp:positionH relativeFrom="margin">
                  <wp:align>left</wp:align>
                </wp:positionH>
                <wp:positionV relativeFrom="page">
                  <wp:posOffset>9677400</wp:posOffset>
                </wp:positionV>
                <wp:extent cx="6411600" cy="4000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49" w:rsidRPr="00A167BB" w:rsidRDefault="00577CF5" w:rsidP="009C7A49">
                            <w:pPr>
                              <w:rPr>
                                <w:sz w:val="18"/>
                                <w:szCs w:val="18"/>
                              </w:rPr>
                            </w:pPr>
                            <w:r w:rsidRPr="00A167BB">
                              <w:rPr>
                                <w:sz w:val="18"/>
                                <w:szCs w:val="18"/>
                              </w:rPr>
                              <w:t>Мария Сергеевна Савельева</w:t>
                            </w:r>
                          </w:p>
                          <w:p w:rsidR="009C7A49" w:rsidRPr="00A167BB" w:rsidRDefault="00BF73C3" w:rsidP="009C7A49">
                            <w:pPr>
                              <w:rPr>
                                <w:sz w:val="18"/>
                                <w:szCs w:val="18"/>
                                <w:lang w:val="en-US"/>
                              </w:rPr>
                            </w:pPr>
                            <w:r w:rsidRPr="00A167BB">
                              <w:rPr>
                                <w:sz w:val="18"/>
                                <w:szCs w:val="18"/>
                              </w:rPr>
                              <w:t>(343) 312-00-12 (</w:t>
                            </w:r>
                            <w:r w:rsidR="009C7A49" w:rsidRPr="00A167BB">
                              <w:rPr>
                                <w:sz w:val="18"/>
                                <w:szCs w:val="18"/>
                              </w:rPr>
                              <w:t xml:space="preserve">доб. </w:t>
                            </w:r>
                            <w:r w:rsidR="00E951C7" w:rsidRPr="00A167BB">
                              <w:rPr>
                                <w:sz w:val="18"/>
                                <w:szCs w:val="18"/>
                              </w:rPr>
                              <w:t>8</w:t>
                            </w:r>
                            <w:r w:rsidR="00577CF5" w:rsidRPr="00A167BB">
                              <w:rPr>
                                <w:sz w:val="18"/>
                                <w:szCs w:val="18"/>
                              </w:rPr>
                              <w:t>1</w:t>
                            </w:r>
                            <w:r w:rsidR="00E951C7" w:rsidRPr="00A167BB">
                              <w:rPr>
                                <w:sz w:val="18"/>
                                <w:szCs w:val="18"/>
                              </w:rPr>
                              <w:t>2</w:t>
                            </w:r>
                            <w:r w:rsidRPr="00A167BB">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5036" id="Прямоугольник 10" o:spid="_x0000_s1026" style="position:absolute;left:0;text-align:left;margin-left:0;margin-top:762pt;width:504.85pt;height:3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h62QIAAMMFAAAOAAAAZHJzL2Uyb0RvYy54bWysVM2O0zAQviPxDpbv2SQl7TbRpqulaRDS&#10;AistPICbOI1FYgfbbbogJCSuSDwCD8EF8bPPkL4RY/d/94KAHCzbM575vpkvc3a+rCu0oFIxwWPs&#10;n3gYUZ6JnPFZjF+9TJ0hRkoTnpNKcBrjG6rw+ejhg7O2iWhPlKLKqUQQhKuobWJcat1ErquyktZE&#10;nYiGcjAWQtZEw1HO3FySFqLXldvzvIHbCpk3UmRUKbhN1kY8svGLgmb6RVEoqlEVY8Cm7SrtOjWr&#10;Ozoj0UySpmTZBgb5CxQ1YRyS7kIlRBM0l+xeqJplUihR6JNM1K4oCpZRywHY+N4dNtclaajlAsVR&#10;za5M6v+FzZ4vriRiOfQOysNJDT3qvqw+rD53P7vb1cfua3fb/Vh96n5137rvCJygYm2jInh43VxJ&#10;w1k1lyJ7rRAX45LwGb2QUrQlJTng9I2/e/TAHBQ8RdP2mcghH5lrYYu3LGRtAkJZ0NL26GbXI7rU&#10;KIPLQeD7Aw+wZmALPM/rW0guibavG6n0EypqZDYxlqABG50sLpU2aEi0dTHJuEhZVVkdVPzoAhzX&#10;N5AbnhqbQWHb+i70wslwMgycoDeYOIGXJM5FOg6cQeqf9pNHyXic+O9NXj+ISpbnlJs0W4n5wZ+1&#10;cCP2tTh2IlOiYrkJZyApOZuOK4kWBCSe2s/WHCx7N/cYhi0CcLlDye8F3uNe6KSD4akTpEHfCU+9&#10;oeP54eNw4AVhkKTHlC4Zp/9OCbUxDvu9vu3SAeg73KDX8N3nRqKaaRgiFatjPNw5kchIcMJz21pN&#10;WLXeH5TCwN+XAtq9bbQVrNHoWut6OV1CFCPcqchvQLpSgLJAhDD5YFMK+RajFqZIjNWbOZEUo+op&#10;B/mHfhCYsWMPQf+0Bwd5aJkeWgjPIFSMNUbr7VivR9W8kWxWQibf1oiLC/hlCmbVvEe1+dFgUlhS&#10;m6lmRtHh2XrtZ+/oNwAAAP//AwBQSwMEFAAGAAgAAAAhAC1MeeLgAAAACwEAAA8AAABkcnMvZG93&#10;bnJldi54bWxMj0FLw0AQhe+C/2EZwYvYXYvaGrMpUhCLCMVUe95mxySYnU2z2yT+eycnvc28N7z5&#10;XroaXSN67ELtScPNTIFAKrytqdTwsXu+XoII0ZA1jSfU8IMBVtn5WWoS6wd6xz6PpeAQConRUMXY&#10;JlKGokJnwsy3SOx9+c6ZyGtXStuZgcNdI+dK3UtnauIPlWlxXWHxnZ+chqHY9vvd24vcXu03no6b&#10;4zr/fNX68mJ8egQRcYx/xzDhMzpkzHTwJ7JBNBq4SGT1bn7L0+Qr9bAAcZi05UKBzFL5v0P2CwAA&#10;//8DAFBLAQItABQABgAIAAAAIQC2gziS/gAAAOEBAAATAAAAAAAAAAAAAAAAAAAAAABbQ29udGVu&#10;dF9UeXBlc10ueG1sUEsBAi0AFAAGAAgAAAAhADj9If/WAAAAlAEAAAsAAAAAAAAAAAAAAAAALwEA&#10;AF9yZWxzLy5yZWxzUEsBAi0AFAAGAAgAAAAhAJYl6HrZAgAAwwUAAA4AAAAAAAAAAAAAAAAALgIA&#10;AGRycy9lMm9Eb2MueG1sUEsBAi0AFAAGAAgAAAAhAC1MeeLgAAAACwEAAA8AAAAAAAAAAAAAAAAA&#10;MwUAAGRycy9kb3ducmV2LnhtbFBLBQYAAAAABAAEAPMAAABABgAAAAA=&#10;" o:allowoverlap="f" filled="f" stroked="f">
                <v:textbox>
                  <w:txbxContent>
                    <w:p w:rsidR="009C7A49" w:rsidRPr="00A167BB" w:rsidRDefault="00577CF5" w:rsidP="009C7A49">
                      <w:pPr>
                        <w:rPr>
                          <w:sz w:val="18"/>
                          <w:szCs w:val="18"/>
                        </w:rPr>
                      </w:pPr>
                      <w:r w:rsidRPr="00A167BB">
                        <w:rPr>
                          <w:sz w:val="18"/>
                          <w:szCs w:val="18"/>
                        </w:rPr>
                        <w:t>Мария Сергеевна Савельева</w:t>
                      </w:r>
                    </w:p>
                    <w:p w:rsidR="009C7A49" w:rsidRPr="00A167BB" w:rsidRDefault="00BF73C3" w:rsidP="009C7A49">
                      <w:pPr>
                        <w:rPr>
                          <w:sz w:val="18"/>
                          <w:szCs w:val="18"/>
                          <w:lang w:val="en-US"/>
                        </w:rPr>
                      </w:pPr>
                      <w:r w:rsidRPr="00A167BB">
                        <w:rPr>
                          <w:sz w:val="18"/>
                          <w:szCs w:val="18"/>
                        </w:rPr>
                        <w:t>(343) 312-00-12 (</w:t>
                      </w:r>
                      <w:r w:rsidR="009C7A49" w:rsidRPr="00A167BB">
                        <w:rPr>
                          <w:sz w:val="18"/>
                          <w:szCs w:val="18"/>
                        </w:rPr>
                        <w:t xml:space="preserve">доб. </w:t>
                      </w:r>
                      <w:r w:rsidR="00E951C7" w:rsidRPr="00A167BB">
                        <w:rPr>
                          <w:sz w:val="18"/>
                          <w:szCs w:val="18"/>
                        </w:rPr>
                        <w:t>8</w:t>
                      </w:r>
                      <w:r w:rsidR="00577CF5" w:rsidRPr="00A167BB">
                        <w:rPr>
                          <w:sz w:val="18"/>
                          <w:szCs w:val="18"/>
                        </w:rPr>
                        <w:t>1</w:t>
                      </w:r>
                      <w:r w:rsidR="00E951C7" w:rsidRPr="00A167BB">
                        <w:rPr>
                          <w:sz w:val="18"/>
                          <w:szCs w:val="18"/>
                        </w:rPr>
                        <w:t>2</w:t>
                      </w:r>
                      <w:r w:rsidRPr="00A167BB">
                        <w:rPr>
                          <w:sz w:val="18"/>
                          <w:szCs w:val="18"/>
                        </w:rPr>
                        <w:t>)</w:t>
                      </w:r>
                    </w:p>
                  </w:txbxContent>
                </v:textbox>
                <w10:wrap type="topAndBottom" anchorx="margin" anchory="page"/>
              </v:rect>
            </w:pict>
          </mc:Fallback>
        </mc:AlternateContent>
      </w:r>
    </w:p>
    <w:sectPr w:rsidR="004C1BAB" w:rsidRPr="00577CF5" w:rsidSect="004363EC">
      <w:headerReference w:type="default" r:id="rId7"/>
      <w:footerReference w:type="default" r:id="rId8"/>
      <w:pgSz w:w="11906" w:h="16838"/>
      <w:pgMar w:top="1134" w:right="567" w:bottom="1134" w:left="1418"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5C" w:rsidRDefault="00E6635C" w:rsidP="002E771D">
      <w:r>
        <w:separator/>
      </w:r>
    </w:p>
  </w:endnote>
  <w:endnote w:type="continuationSeparator" w:id="0">
    <w:p w:rsidR="00E6635C" w:rsidRDefault="00E6635C" w:rsidP="002E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BC" w:rsidRPr="007528BC" w:rsidRDefault="007528BC" w:rsidP="007528BC">
    <w:pPr>
      <w:pStyle w:val="a4"/>
      <w:spacing w:line="216"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5C" w:rsidRDefault="00E6635C" w:rsidP="002E771D">
      <w:r>
        <w:separator/>
      </w:r>
    </w:p>
  </w:footnote>
  <w:footnote w:type="continuationSeparator" w:id="0">
    <w:p w:rsidR="00E6635C" w:rsidRDefault="00E6635C" w:rsidP="002E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31286"/>
      <w:docPartObj>
        <w:docPartGallery w:val="Page Numbers (Top of Page)"/>
        <w:docPartUnique/>
      </w:docPartObj>
    </w:sdtPr>
    <w:sdtEndPr>
      <w:rPr>
        <w:sz w:val="28"/>
        <w:szCs w:val="28"/>
      </w:rPr>
    </w:sdtEndPr>
    <w:sdtContent>
      <w:p w:rsidR="000B6097" w:rsidRDefault="000D73AB" w:rsidP="000D73AB">
        <w:pPr>
          <w:pStyle w:val="a8"/>
          <w:jc w:val="center"/>
          <w:rPr>
            <w:sz w:val="28"/>
            <w:szCs w:val="28"/>
          </w:rPr>
        </w:pPr>
        <w:r w:rsidRPr="000D73AB">
          <w:rPr>
            <w:sz w:val="28"/>
            <w:szCs w:val="28"/>
          </w:rPr>
          <w:fldChar w:fldCharType="begin"/>
        </w:r>
        <w:r w:rsidRPr="000D73AB">
          <w:rPr>
            <w:sz w:val="28"/>
            <w:szCs w:val="28"/>
          </w:rPr>
          <w:instrText>PAGE   \* MERGEFORMAT</w:instrText>
        </w:r>
        <w:r w:rsidRPr="000D73AB">
          <w:rPr>
            <w:sz w:val="28"/>
            <w:szCs w:val="28"/>
          </w:rPr>
          <w:fldChar w:fldCharType="separate"/>
        </w:r>
        <w:r w:rsidR="00A167BB">
          <w:rPr>
            <w:noProof/>
            <w:sz w:val="28"/>
            <w:szCs w:val="28"/>
          </w:rPr>
          <w:t>5</w:t>
        </w:r>
        <w:r w:rsidRPr="000D73AB">
          <w:rPr>
            <w:sz w:val="28"/>
            <w:szCs w:val="28"/>
          </w:rPr>
          <w:fldChar w:fldCharType="end"/>
        </w:r>
      </w:p>
      <w:p w:rsidR="000D73AB" w:rsidRPr="000D73AB" w:rsidRDefault="00A167BB" w:rsidP="000D73AB">
        <w:pPr>
          <w:pStyle w:val="a8"/>
          <w:jc w:val="center"/>
          <w:rPr>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D3"/>
    <w:rsid w:val="00017C36"/>
    <w:rsid w:val="0002591E"/>
    <w:rsid w:val="00042644"/>
    <w:rsid w:val="000A52F2"/>
    <w:rsid w:val="000B318A"/>
    <w:rsid w:val="000B6097"/>
    <w:rsid w:val="000D4B22"/>
    <w:rsid w:val="000D73AB"/>
    <w:rsid w:val="000F5F44"/>
    <w:rsid w:val="00120FE4"/>
    <w:rsid w:val="00131286"/>
    <w:rsid w:val="001535D3"/>
    <w:rsid w:val="00157A2E"/>
    <w:rsid w:val="00185C4A"/>
    <w:rsid w:val="00192D7B"/>
    <w:rsid w:val="001933A1"/>
    <w:rsid w:val="00202DE1"/>
    <w:rsid w:val="0020739F"/>
    <w:rsid w:val="00210BF7"/>
    <w:rsid w:val="00225B42"/>
    <w:rsid w:val="00236B94"/>
    <w:rsid w:val="0027278D"/>
    <w:rsid w:val="0028051F"/>
    <w:rsid w:val="00290ACC"/>
    <w:rsid w:val="00291D52"/>
    <w:rsid w:val="002C0397"/>
    <w:rsid w:val="002D260E"/>
    <w:rsid w:val="002D413E"/>
    <w:rsid w:val="002E771D"/>
    <w:rsid w:val="00307D0C"/>
    <w:rsid w:val="00320E05"/>
    <w:rsid w:val="00332C2E"/>
    <w:rsid w:val="00335C72"/>
    <w:rsid w:val="0034423D"/>
    <w:rsid w:val="003B70AF"/>
    <w:rsid w:val="003D2D71"/>
    <w:rsid w:val="003E1868"/>
    <w:rsid w:val="00412648"/>
    <w:rsid w:val="004336BC"/>
    <w:rsid w:val="004363EC"/>
    <w:rsid w:val="00441893"/>
    <w:rsid w:val="004655B2"/>
    <w:rsid w:val="00496BB2"/>
    <w:rsid w:val="004A0C3F"/>
    <w:rsid w:val="004A4F55"/>
    <w:rsid w:val="004B331B"/>
    <w:rsid w:val="004C1BAB"/>
    <w:rsid w:val="004F684B"/>
    <w:rsid w:val="004F7AB2"/>
    <w:rsid w:val="005071D3"/>
    <w:rsid w:val="005518D3"/>
    <w:rsid w:val="00554B94"/>
    <w:rsid w:val="00556A9A"/>
    <w:rsid w:val="00557CA3"/>
    <w:rsid w:val="00561272"/>
    <w:rsid w:val="00577CF5"/>
    <w:rsid w:val="0058219F"/>
    <w:rsid w:val="00592985"/>
    <w:rsid w:val="005A03ED"/>
    <w:rsid w:val="005B502D"/>
    <w:rsid w:val="005B7511"/>
    <w:rsid w:val="005F45AA"/>
    <w:rsid w:val="00616DF4"/>
    <w:rsid w:val="006221AD"/>
    <w:rsid w:val="00622F4A"/>
    <w:rsid w:val="00624906"/>
    <w:rsid w:val="00642B69"/>
    <w:rsid w:val="00662C60"/>
    <w:rsid w:val="00663CDB"/>
    <w:rsid w:val="00686BAB"/>
    <w:rsid w:val="00696B8E"/>
    <w:rsid w:val="00697959"/>
    <w:rsid w:val="006A7377"/>
    <w:rsid w:val="006B1E40"/>
    <w:rsid w:val="006B51CA"/>
    <w:rsid w:val="006B5AE3"/>
    <w:rsid w:val="006D25EB"/>
    <w:rsid w:val="006D7946"/>
    <w:rsid w:val="006E33BE"/>
    <w:rsid w:val="006E3778"/>
    <w:rsid w:val="007436CB"/>
    <w:rsid w:val="007472FE"/>
    <w:rsid w:val="007528BC"/>
    <w:rsid w:val="007528D1"/>
    <w:rsid w:val="00775DA5"/>
    <w:rsid w:val="00792CC8"/>
    <w:rsid w:val="007E62FA"/>
    <w:rsid w:val="007F3F4A"/>
    <w:rsid w:val="007F4B41"/>
    <w:rsid w:val="00823E15"/>
    <w:rsid w:val="00824595"/>
    <w:rsid w:val="00826610"/>
    <w:rsid w:val="0085515B"/>
    <w:rsid w:val="00860E07"/>
    <w:rsid w:val="00865E44"/>
    <w:rsid w:val="00893499"/>
    <w:rsid w:val="008A3F3C"/>
    <w:rsid w:val="008A619E"/>
    <w:rsid w:val="008B767A"/>
    <w:rsid w:val="008C0BC2"/>
    <w:rsid w:val="008C2D34"/>
    <w:rsid w:val="008E47E9"/>
    <w:rsid w:val="008F2D52"/>
    <w:rsid w:val="00904E78"/>
    <w:rsid w:val="0092412A"/>
    <w:rsid w:val="0094028F"/>
    <w:rsid w:val="009432EF"/>
    <w:rsid w:val="00962381"/>
    <w:rsid w:val="00965386"/>
    <w:rsid w:val="00996BEB"/>
    <w:rsid w:val="009C7A49"/>
    <w:rsid w:val="009E5F8F"/>
    <w:rsid w:val="009E7AC9"/>
    <w:rsid w:val="00A03F1A"/>
    <w:rsid w:val="00A1620D"/>
    <w:rsid w:val="00A167BB"/>
    <w:rsid w:val="00A27C60"/>
    <w:rsid w:val="00A32B6B"/>
    <w:rsid w:val="00A41AF9"/>
    <w:rsid w:val="00A6122B"/>
    <w:rsid w:val="00A61B66"/>
    <w:rsid w:val="00A648AC"/>
    <w:rsid w:val="00A64C6C"/>
    <w:rsid w:val="00AA2BDF"/>
    <w:rsid w:val="00AA2E9F"/>
    <w:rsid w:val="00AB4CBE"/>
    <w:rsid w:val="00AE26E6"/>
    <w:rsid w:val="00AF2907"/>
    <w:rsid w:val="00B1463C"/>
    <w:rsid w:val="00B238C4"/>
    <w:rsid w:val="00B25306"/>
    <w:rsid w:val="00B87103"/>
    <w:rsid w:val="00BB2687"/>
    <w:rsid w:val="00BC33AD"/>
    <w:rsid w:val="00BD0941"/>
    <w:rsid w:val="00BE7657"/>
    <w:rsid w:val="00BF73C3"/>
    <w:rsid w:val="00C145E6"/>
    <w:rsid w:val="00C24A33"/>
    <w:rsid w:val="00C57E27"/>
    <w:rsid w:val="00C73CDA"/>
    <w:rsid w:val="00C77A06"/>
    <w:rsid w:val="00C80C97"/>
    <w:rsid w:val="00C81DD9"/>
    <w:rsid w:val="00C8254C"/>
    <w:rsid w:val="00CA5370"/>
    <w:rsid w:val="00CA65DC"/>
    <w:rsid w:val="00CD394D"/>
    <w:rsid w:val="00CD579E"/>
    <w:rsid w:val="00D008CC"/>
    <w:rsid w:val="00D01D12"/>
    <w:rsid w:val="00D156D0"/>
    <w:rsid w:val="00D165DF"/>
    <w:rsid w:val="00D309B7"/>
    <w:rsid w:val="00D45754"/>
    <w:rsid w:val="00D76F90"/>
    <w:rsid w:val="00DB79A6"/>
    <w:rsid w:val="00DD2547"/>
    <w:rsid w:val="00DE48EA"/>
    <w:rsid w:val="00DE7BCA"/>
    <w:rsid w:val="00E00D68"/>
    <w:rsid w:val="00E0789C"/>
    <w:rsid w:val="00E32252"/>
    <w:rsid w:val="00E32A1D"/>
    <w:rsid w:val="00E50332"/>
    <w:rsid w:val="00E6635C"/>
    <w:rsid w:val="00E83FFB"/>
    <w:rsid w:val="00E845B1"/>
    <w:rsid w:val="00E951C7"/>
    <w:rsid w:val="00EA045A"/>
    <w:rsid w:val="00EB3645"/>
    <w:rsid w:val="00ED7A53"/>
    <w:rsid w:val="00EF7783"/>
    <w:rsid w:val="00F143A6"/>
    <w:rsid w:val="00F17ACD"/>
    <w:rsid w:val="00F35245"/>
    <w:rsid w:val="00F467BD"/>
    <w:rsid w:val="00F87FB8"/>
    <w:rsid w:val="00FA20CA"/>
    <w:rsid w:val="00FB031C"/>
    <w:rsid w:val="00FC0DAE"/>
    <w:rsid w:val="00FC7BED"/>
    <w:rsid w:val="00FD51C1"/>
    <w:rsid w:val="00FE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530DDB38-333A-45B5-A340-043AC250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B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A2B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61B66"/>
    <w:pPr>
      <w:keepNext/>
      <w:widowControl w:val="0"/>
      <w:autoSpaceDE w:val="0"/>
      <w:autoSpaceDN w:val="0"/>
      <w:adjustRightInd w:val="0"/>
      <w:spacing w:line="360" w:lineRule="auto"/>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1B66"/>
    <w:rPr>
      <w:rFonts w:ascii="Times New Roman" w:eastAsia="Times New Roman" w:hAnsi="Times New Roman" w:cs="Times New Roman"/>
      <w:b/>
      <w:bCs/>
      <w:sz w:val="28"/>
      <w:szCs w:val="20"/>
      <w:lang w:eastAsia="ru-RU"/>
    </w:rPr>
  </w:style>
  <w:style w:type="paragraph" w:customStyle="1" w:styleId="ConsPlusNonformat">
    <w:name w:val="ConsPlusNonformat"/>
    <w:rsid w:val="00A61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61B66"/>
    <w:rPr>
      <w:color w:val="0000FF"/>
      <w:u w:val="single"/>
    </w:rPr>
  </w:style>
  <w:style w:type="paragraph" w:styleId="a4">
    <w:name w:val="Body Text Indent"/>
    <w:basedOn w:val="a"/>
    <w:link w:val="a5"/>
    <w:rsid w:val="00A61B66"/>
    <w:pPr>
      <w:ind w:firstLine="709"/>
      <w:jc w:val="both"/>
    </w:pPr>
    <w:rPr>
      <w:sz w:val="28"/>
    </w:rPr>
  </w:style>
  <w:style w:type="character" w:customStyle="1" w:styleId="a5">
    <w:name w:val="Основной текст с отступом Знак"/>
    <w:basedOn w:val="a0"/>
    <w:link w:val="a4"/>
    <w:rsid w:val="00A61B6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FC0DAE"/>
    <w:rPr>
      <w:rFonts w:ascii="Tahoma" w:hAnsi="Tahoma" w:cs="Tahoma"/>
      <w:sz w:val="16"/>
      <w:szCs w:val="16"/>
    </w:rPr>
  </w:style>
  <w:style w:type="character" w:customStyle="1" w:styleId="a7">
    <w:name w:val="Текст выноски Знак"/>
    <w:basedOn w:val="a0"/>
    <w:link w:val="a6"/>
    <w:uiPriority w:val="99"/>
    <w:semiHidden/>
    <w:rsid w:val="00FC0DAE"/>
    <w:rPr>
      <w:rFonts w:ascii="Tahoma" w:eastAsia="Times New Roman" w:hAnsi="Tahoma" w:cs="Tahoma"/>
      <w:sz w:val="16"/>
      <w:szCs w:val="16"/>
      <w:lang w:eastAsia="ru-RU"/>
    </w:rPr>
  </w:style>
  <w:style w:type="paragraph" w:styleId="a8">
    <w:name w:val="header"/>
    <w:basedOn w:val="a"/>
    <w:link w:val="a9"/>
    <w:uiPriority w:val="99"/>
    <w:unhideWhenUsed/>
    <w:rsid w:val="002E771D"/>
    <w:pPr>
      <w:tabs>
        <w:tab w:val="center" w:pos="4677"/>
        <w:tab w:val="right" w:pos="9355"/>
      </w:tabs>
    </w:pPr>
  </w:style>
  <w:style w:type="character" w:customStyle="1" w:styleId="a9">
    <w:name w:val="Верхний колонтитул Знак"/>
    <w:basedOn w:val="a0"/>
    <w:link w:val="a8"/>
    <w:uiPriority w:val="99"/>
    <w:rsid w:val="002E771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E771D"/>
    <w:pPr>
      <w:tabs>
        <w:tab w:val="center" w:pos="4677"/>
        <w:tab w:val="right" w:pos="9355"/>
      </w:tabs>
    </w:pPr>
  </w:style>
  <w:style w:type="character" w:customStyle="1" w:styleId="ab">
    <w:name w:val="Нижний колонтитул Знак"/>
    <w:basedOn w:val="a0"/>
    <w:link w:val="aa"/>
    <w:uiPriority w:val="99"/>
    <w:rsid w:val="002E771D"/>
    <w:rPr>
      <w:rFonts w:ascii="Times New Roman" w:eastAsia="Times New Roman" w:hAnsi="Times New Roman" w:cs="Times New Roman"/>
      <w:sz w:val="20"/>
      <w:szCs w:val="20"/>
      <w:lang w:eastAsia="ru-RU"/>
    </w:rPr>
  </w:style>
  <w:style w:type="paragraph" w:styleId="21">
    <w:name w:val="Body Text 2"/>
    <w:basedOn w:val="a"/>
    <w:link w:val="22"/>
    <w:rsid w:val="00775DA5"/>
    <w:pPr>
      <w:spacing w:after="120" w:line="480" w:lineRule="auto"/>
    </w:pPr>
  </w:style>
  <w:style w:type="character" w:customStyle="1" w:styleId="22">
    <w:name w:val="Основной текст 2 Знак"/>
    <w:basedOn w:val="a0"/>
    <w:link w:val="21"/>
    <w:rsid w:val="00775DA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A2BDF"/>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8CB9-C4F1-4ADD-AA29-8FB6C070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Министерство энергетикии и жилищно-коммунального хозяйства Свердловской области</dc:creator>
  <cp:lastModifiedBy>Рыбакова Диана Равильевна</cp:lastModifiedBy>
  <cp:revision>3</cp:revision>
  <cp:lastPrinted>2019-05-23T05:03:00Z</cp:lastPrinted>
  <dcterms:created xsi:type="dcterms:W3CDTF">2019-05-23T05:02:00Z</dcterms:created>
  <dcterms:modified xsi:type="dcterms:W3CDTF">2019-05-23T05:03:00Z</dcterms:modified>
</cp:coreProperties>
</file>