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5D" w:rsidRPr="008D6ECE" w:rsidRDefault="008D6ECE" w:rsidP="008D6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ECE">
        <w:rPr>
          <w:rFonts w:ascii="Times New Roman" w:hAnsi="Times New Roman" w:cs="Times New Roman"/>
          <w:b/>
          <w:sz w:val="28"/>
          <w:szCs w:val="28"/>
        </w:rPr>
        <w:t>Информация о соблюдении положения в сфере формирования доступной среды жизнедеятельности для инвалидов и маломобильных групп населения на территории Ирбитского муниципального образования</w:t>
      </w:r>
    </w:p>
    <w:p w:rsidR="008D6ECE" w:rsidRDefault="008D6ECE">
      <w:pPr>
        <w:rPr>
          <w:rFonts w:ascii="Times New Roman" w:hAnsi="Times New Roman" w:cs="Times New Roman"/>
          <w:sz w:val="28"/>
          <w:szCs w:val="28"/>
        </w:rPr>
      </w:pPr>
    </w:p>
    <w:p w:rsidR="008D6ECE" w:rsidRDefault="008D6ECE" w:rsidP="008D6E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результате обследования в 2017 году соответствуют законодательству Российской Федерации Государственной программе «Доступная среда» следующие подведомственные учреждения:</w:t>
      </w:r>
    </w:p>
    <w:p w:rsidR="008D6ECE" w:rsidRDefault="008D6ECE" w:rsidP="008D6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- 15% образовательных организаций Управления образования Ирбитского муниципального образования;</w:t>
      </w:r>
    </w:p>
    <w:p w:rsidR="008D6ECE" w:rsidRDefault="008D6ECE" w:rsidP="008D6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- 16% клубных учреждений Управления культуры Ирбитского муниципального образования;</w:t>
      </w:r>
    </w:p>
    <w:p w:rsidR="008D6ECE" w:rsidRPr="008D6ECE" w:rsidRDefault="008D6ECE" w:rsidP="008D6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- 50% административных зданий муниципального унитарного предприятия «ЖКХ Ирбитского района» Ирбитского муниципального образования.</w:t>
      </w:r>
    </w:p>
    <w:sectPr w:rsidR="008D6ECE" w:rsidRPr="008D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CE"/>
    <w:rsid w:val="00682B5D"/>
    <w:rsid w:val="008D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CF7E6-0A80-4065-8516-384D2FC2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2018-04-03T03:06:00Z</dcterms:created>
  <dcterms:modified xsi:type="dcterms:W3CDTF">2018-04-03T03:12:00Z</dcterms:modified>
</cp:coreProperties>
</file>