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B5" w:rsidRDefault="00174FB5" w:rsidP="00264CD3">
      <w:pPr>
        <w:pStyle w:val="ConsPlusNormal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264CD3" w:rsidRPr="00876A48" w:rsidRDefault="00264CD3" w:rsidP="00264CD3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Приложение N 1</w:t>
      </w:r>
    </w:p>
    <w:p w:rsidR="00264CD3" w:rsidRPr="00876A48" w:rsidRDefault="00264CD3" w:rsidP="00264CD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264CD3" w:rsidRPr="00876A48" w:rsidRDefault="00CA55E5" w:rsidP="00264CD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Ирбитского муниц</w:t>
      </w:r>
      <w:r w:rsidR="0067335D">
        <w:rPr>
          <w:rFonts w:ascii="Liberation Serif" w:hAnsi="Liberation Serif"/>
          <w:sz w:val="24"/>
          <w:szCs w:val="24"/>
        </w:rPr>
        <w:t>и</w:t>
      </w:r>
      <w:r>
        <w:rPr>
          <w:rFonts w:ascii="Liberation Serif" w:hAnsi="Liberation Serif"/>
          <w:sz w:val="24"/>
          <w:szCs w:val="24"/>
        </w:rPr>
        <w:t>пального</w:t>
      </w:r>
      <w:r w:rsidR="0067335D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образования</w:t>
      </w:r>
    </w:p>
    <w:p w:rsidR="00264CD3" w:rsidRPr="00394224" w:rsidRDefault="00264CD3" w:rsidP="00264CD3">
      <w:pPr>
        <w:pStyle w:val="ConsPlusNormal"/>
        <w:jc w:val="right"/>
        <w:rPr>
          <w:rFonts w:ascii="Liberation Serif" w:hAnsi="Liberation Serif"/>
          <w:sz w:val="24"/>
          <w:szCs w:val="24"/>
          <w:u w:val="single"/>
        </w:rPr>
      </w:pPr>
      <w:r w:rsidRPr="00394224">
        <w:rPr>
          <w:rFonts w:ascii="Liberation Serif" w:hAnsi="Liberation Serif"/>
          <w:sz w:val="24"/>
          <w:szCs w:val="24"/>
          <w:u w:val="single"/>
        </w:rPr>
        <w:t xml:space="preserve">от </w:t>
      </w:r>
      <w:r w:rsidR="00CA55E5" w:rsidRPr="00394224">
        <w:rPr>
          <w:rFonts w:ascii="Liberation Serif" w:hAnsi="Liberation Serif"/>
          <w:sz w:val="24"/>
          <w:szCs w:val="24"/>
          <w:u w:val="single"/>
        </w:rPr>
        <w:t xml:space="preserve"> </w:t>
      </w:r>
      <w:r w:rsidR="00394224" w:rsidRPr="00394224">
        <w:rPr>
          <w:rFonts w:ascii="Liberation Serif" w:hAnsi="Liberation Serif"/>
          <w:sz w:val="24"/>
          <w:szCs w:val="24"/>
          <w:u w:val="single"/>
        </w:rPr>
        <w:t>20.04.</w:t>
      </w:r>
      <w:r w:rsidRPr="00394224">
        <w:rPr>
          <w:rFonts w:ascii="Liberation Serif" w:hAnsi="Liberation Serif"/>
          <w:sz w:val="24"/>
          <w:szCs w:val="24"/>
          <w:u w:val="single"/>
        </w:rPr>
        <w:t>2020 г. N</w:t>
      </w:r>
      <w:r w:rsidR="0067335D" w:rsidRPr="00394224">
        <w:rPr>
          <w:rFonts w:ascii="Liberation Serif" w:hAnsi="Liberation Serif"/>
          <w:sz w:val="24"/>
          <w:szCs w:val="24"/>
          <w:u w:val="single"/>
        </w:rPr>
        <w:t xml:space="preserve">  </w:t>
      </w:r>
      <w:r w:rsidR="00394224" w:rsidRPr="00394224">
        <w:rPr>
          <w:rFonts w:ascii="Liberation Serif" w:hAnsi="Liberation Serif"/>
          <w:sz w:val="24"/>
          <w:szCs w:val="24"/>
          <w:u w:val="single"/>
        </w:rPr>
        <w:t>218</w:t>
      </w:r>
      <w:r w:rsidRPr="00394224">
        <w:rPr>
          <w:rFonts w:ascii="Liberation Serif" w:hAnsi="Liberation Serif"/>
          <w:sz w:val="24"/>
          <w:szCs w:val="24"/>
          <w:u w:val="single"/>
        </w:rPr>
        <w:t>-ПА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1" w:name="P36"/>
      <w:bookmarkEnd w:id="1"/>
      <w:r w:rsidRPr="00876A48">
        <w:rPr>
          <w:rFonts w:ascii="Liberation Serif" w:hAnsi="Liberation Serif"/>
          <w:sz w:val="24"/>
          <w:szCs w:val="24"/>
        </w:rPr>
        <w:t>ПОРЯДОК</w:t>
      </w: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ПРОВЕДЕНИЯ АНАЛИЗА ФИНАНСОВОГО СОСТОЯНИЯ ПРИНЦИПАЛА</w:t>
      </w: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ПРИ ПРЕДОСТАВЛЕНИИ МУНИЦИПАЛЬНОЙ ГАРАНТИИ</w:t>
      </w:r>
    </w:p>
    <w:p w:rsidR="00264CD3" w:rsidRPr="00876A48" w:rsidRDefault="00CA55E5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ИРБИТСКОГО МУНИЦИПАЛЬНОГО ОБРАЗОВАНИЯ</w:t>
      </w:r>
      <w:r w:rsidR="00264CD3" w:rsidRPr="00876A48">
        <w:rPr>
          <w:rFonts w:ascii="Liberation Serif" w:hAnsi="Liberation Serif"/>
          <w:sz w:val="24"/>
          <w:szCs w:val="24"/>
        </w:rPr>
        <w:t>, А ТАКЖЕ МОНИТОРИНГА</w:t>
      </w: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ФИНАНСОВОГО СОСТОЯНИЯ ПРИНЦИПАЛА ПОСЛЕ ПРЕДОСТАВЛЕНИЯ</w:t>
      </w: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МУНИЦИПАЛЬНОЙ ГАРАНТИИ </w:t>
      </w:r>
      <w:r w:rsidR="00CA55E5">
        <w:rPr>
          <w:rFonts w:ascii="Liberation Serif" w:hAnsi="Liberation Serif"/>
          <w:sz w:val="24"/>
          <w:szCs w:val="24"/>
        </w:rPr>
        <w:t>ИРБИТСКОГО МУНИЦИПАЛЬНОГО ОБРАЗОВАНИЯ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1. ОБЩИЕ ПОЛОЖЕНИЯ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1.1. Настоящий порядок определяет процедуру проведения анализа финансового состояния юридического лица (далее - Принципал) в обеспечение исполнения обязательств которого рассматривается вопрос о предоставлении муниципальной гарантии </w:t>
      </w:r>
      <w:r w:rsidR="00CA55E5">
        <w:rPr>
          <w:rFonts w:ascii="Liberation Serif" w:hAnsi="Liberation Serif"/>
          <w:sz w:val="24"/>
          <w:szCs w:val="24"/>
        </w:rPr>
        <w:t>Ирбитского муниципального образования</w:t>
      </w:r>
      <w:r w:rsidRPr="00876A48">
        <w:rPr>
          <w:rFonts w:ascii="Liberation Serif" w:hAnsi="Liberation Serif"/>
          <w:sz w:val="24"/>
          <w:szCs w:val="24"/>
        </w:rPr>
        <w:t>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1.2. Анализ финансового состояния проводится в течение 30 дней со дня поступления в Финансовое управление администрации </w:t>
      </w:r>
      <w:r w:rsidR="00CA55E5">
        <w:rPr>
          <w:rFonts w:ascii="Liberation Serif" w:hAnsi="Liberation Serif"/>
          <w:sz w:val="24"/>
          <w:szCs w:val="24"/>
        </w:rPr>
        <w:t xml:space="preserve">Ирбитского муниципального образования </w:t>
      </w:r>
      <w:r w:rsidRPr="00876A48">
        <w:rPr>
          <w:rFonts w:ascii="Liberation Serif" w:hAnsi="Liberation Serif"/>
          <w:sz w:val="24"/>
          <w:szCs w:val="24"/>
        </w:rPr>
        <w:t xml:space="preserve"> (далее - Финансовое управление) документов, предоставляемых принципалом в соответствии с Перечнем документов, подлежащих предоставлению принципалом в целях получения муниципальной гарантии, утвержденным муниципальным правовым актом </w:t>
      </w:r>
      <w:r w:rsidR="000E788D">
        <w:rPr>
          <w:rFonts w:ascii="Liberation Serif" w:hAnsi="Liberation Serif"/>
          <w:sz w:val="24"/>
          <w:szCs w:val="24"/>
        </w:rPr>
        <w:t xml:space="preserve">Думы </w:t>
      </w:r>
      <w:r w:rsidRPr="00876A48">
        <w:rPr>
          <w:rFonts w:ascii="Liberation Serif" w:hAnsi="Liberation Serif"/>
          <w:sz w:val="24"/>
          <w:szCs w:val="24"/>
        </w:rPr>
        <w:t xml:space="preserve"> </w:t>
      </w:r>
      <w:r w:rsidR="00CA55E5">
        <w:rPr>
          <w:rFonts w:ascii="Liberation Serif" w:hAnsi="Liberation Serif"/>
          <w:sz w:val="24"/>
          <w:szCs w:val="24"/>
        </w:rPr>
        <w:t>Ирбитского муниципального образования</w:t>
      </w:r>
      <w:r w:rsidRPr="00876A48">
        <w:rPr>
          <w:rFonts w:ascii="Liberation Serif" w:hAnsi="Liberation Serif"/>
          <w:sz w:val="24"/>
          <w:szCs w:val="24"/>
        </w:rPr>
        <w:t>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Анализ финансового состояния осуществляется перед предоставлением муниципальной гарантии </w:t>
      </w:r>
      <w:r w:rsidR="00CA55E5">
        <w:rPr>
          <w:rFonts w:ascii="Liberation Serif" w:hAnsi="Liberation Serif"/>
          <w:sz w:val="24"/>
          <w:szCs w:val="24"/>
        </w:rPr>
        <w:t>Ирбитского муниципального образования</w:t>
      </w:r>
      <w:r w:rsidRPr="00876A48">
        <w:rPr>
          <w:rFonts w:ascii="Liberation Serif" w:hAnsi="Liberation Serif"/>
          <w:sz w:val="24"/>
          <w:szCs w:val="24"/>
        </w:rPr>
        <w:t xml:space="preserve">, принятием обеспечения обязательств принципала перед </w:t>
      </w:r>
      <w:r w:rsidR="00CA55E5">
        <w:rPr>
          <w:rFonts w:ascii="Liberation Serif" w:hAnsi="Liberation Serif"/>
          <w:sz w:val="24"/>
          <w:szCs w:val="24"/>
        </w:rPr>
        <w:t>Ирбитским муниц</w:t>
      </w:r>
      <w:r w:rsidR="0067335D">
        <w:rPr>
          <w:rFonts w:ascii="Liberation Serif" w:hAnsi="Liberation Serif"/>
          <w:sz w:val="24"/>
          <w:szCs w:val="24"/>
        </w:rPr>
        <w:t>и</w:t>
      </w:r>
      <w:r w:rsidR="00CA55E5">
        <w:rPr>
          <w:rFonts w:ascii="Liberation Serif" w:hAnsi="Liberation Serif"/>
          <w:sz w:val="24"/>
          <w:szCs w:val="24"/>
        </w:rPr>
        <w:t>пальным образованием</w:t>
      </w:r>
      <w:r w:rsidRPr="00876A48">
        <w:rPr>
          <w:rFonts w:ascii="Liberation Serif" w:hAnsi="Liberation Serif"/>
          <w:sz w:val="24"/>
          <w:szCs w:val="24"/>
        </w:rPr>
        <w:t>, а также после ее предоставления и не реже одного раза в год в течение срока действия предоставленной муниципальной гарантии, обеспечения.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Анализ финансового состояния принципала не проводится в случае предоставления муниципальной гарантии без регрессного требования.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В случае обеспечения исполнения обязательств по исполнению муниципальной гарантии поручительством третьих лиц документы на поручителя предоставляются принципалом.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 АНАЛИЗ ФИНАНСОВОГО СОСТОЯНИЯ ЮРИДИЧЕСКОГО ЛИЦА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В ходе проведения анализа финансового состояния принципала оцениваются: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сводный показатель финансового состояния;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сводный показатель финансовой устойчивости.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Завершающим этапом является определение общей оценки финансового состояния юридического лица.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2.1. СВОДНЫЙ ПОКАЗАТЕЛЬ ФИНАНСОВОГО СОСТОЯНИЯ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2.1.1. Сводный показатель финансового состояния рассчитывается на основе трех групп </w:t>
      </w:r>
      <w:r w:rsidRPr="00876A48">
        <w:rPr>
          <w:rFonts w:ascii="Liberation Serif" w:hAnsi="Liberation Serif"/>
          <w:sz w:val="24"/>
          <w:szCs w:val="24"/>
        </w:rPr>
        <w:lastRenderedPageBreak/>
        <w:t>оценочных показателей: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коэффициент ликвидности;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коэффициент соотношения собственных и заемных средств;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показатель рентабельности.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2.1.2. Из группы коэффициентов ликвидности рассчитываются: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коэффициент абсолютной ликвидности (К1);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коэффициент быстрой (промежуточной) ликвидности (К2);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коэффициент текущей (общей) ликвидности (К3).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Расчет коэффициентов производится на основании данных бухгалтерского </w:t>
      </w:r>
      <w:hyperlink r:id="rId6" w:history="1">
        <w:r w:rsidRPr="00CA55E5">
          <w:rPr>
            <w:rFonts w:ascii="Liberation Serif" w:hAnsi="Liberation Serif"/>
            <w:color w:val="000000" w:themeColor="text1"/>
            <w:sz w:val="24"/>
            <w:szCs w:val="24"/>
          </w:rPr>
          <w:t>баланса</w:t>
        </w:r>
      </w:hyperlink>
      <w:r w:rsidRPr="00CA55E5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Pr="00876A48">
        <w:rPr>
          <w:rFonts w:ascii="Liberation Serif" w:hAnsi="Liberation Serif"/>
          <w:sz w:val="24"/>
          <w:szCs w:val="24"/>
        </w:rPr>
        <w:t xml:space="preserve"> форма которого утверждена Приказом Министерства финансов Российской Федерации от 02.07.2010 N 66н "О формах бухгалтерской отчетности организаций".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2.1.3. Коэффициент абсолютной ликвидности (К1) рассчитывается по следующей формуле: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К1 = (стр. 1240 + стр. 1250) / (стр. 1500 - стр. 1530 - стр. 1540), где: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1240 - финансовые вложения (за исключением денежных эквивалентов);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1250 - денежные средства и денежные эквиваленты;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стр. 1500 - краткосрочные обязательства (итог </w:t>
      </w:r>
      <w:hyperlink r:id="rId7" w:history="1">
        <w:r w:rsidRPr="00CA55E5">
          <w:rPr>
            <w:rFonts w:ascii="Liberation Serif" w:hAnsi="Liberation Serif"/>
            <w:color w:val="000000" w:themeColor="text1"/>
            <w:sz w:val="24"/>
            <w:szCs w:val="24"/>
          </w:rPr>
          <w:t>раздела V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баланса);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1530 - доходы будущих периодов;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1540 - оценочные обязательства.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2.1.4. Коэффициент быстрой (промежуточной) ликвидности (К2) характеризует способность предприятия оперативно высвободить из хозяйственного оборота денежные средства и погасить существующие финансовые обязательства.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Коэффициент рассчитывается по следующей формуле: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К2 = (стр. 1230 + стр. 1240 + стр. 1250) / (стр. 1500 - стр. 1530 - стр. 1540), где: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1230 - дебиторская задолженность, в части краткосрочной дебиторской задолженности, погашение которой ожидается в течение года.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2.1.5. Коэффициент текущей (общей) ликвидности (К3) рассчитывается по следующей формуле: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К3 = (стр. 1200 - стр. 1210 - стр. 1230) / (стр. 1500 - стр. 1530 - стр. 1540), где: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1200 - оборотные активы предприятия (</w:t>
      </w:r>
      <w:hyperlink r:id="rId8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итог раздела II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бухгалтерского баланса предприятия);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1210 - запасы, в части расходов будущих периодов;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lastRenderedPageBreak/>
        <w:t>стр. 1230 - дебиторская задолженность, в части дебиторской задолженности, платежи по которой ожидаются более чем через 12 месяцев после отчетной даты.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2.1.6. Коэффициент соотношения собственных и заемных средств определяется по следующей формуле: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К4 = стр. 1300 / (стр. 1400 + стр. 1500 - стр. 1530 - стр. 1540), где: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1300 - собственный капитал предприятия и резервы (</w:t>
      </w:r>
      <w:hyperlink r:id="rId9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итог раздела III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бухгалтерского баланса);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1400 - долгосрочные обязательства (</w:t>
      </w:r>
      <w:hyperlink r:id="rId10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итог раздела IV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бухгалтерского баланса).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2.1.7. Показатель рентабельности (К5) рассчитывается на основании данных отчета о финансовых результатах по следующей формуле: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К5 = стр. 2200 / стр. 2110, где: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2200 - прибыль (убыток) от продаж;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2110 - выручка.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2.2. ПОСТРОЕНИЕ СВОДНОЙ ОЦЕНКИ ФИНАНСОВОГО СОСТОЯНИЯ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2.2.1. Для каждого базового показателя устанавливаются наилучшее и наихудшее пороговые значения.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На основе полученного значения и пороговых значений для каждого показателя определяется одна из трех категорий. Пороговые значения показателей и правило выбора категории в зависимости от фактических значений показателей содержатся в таблице 1.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jc w:val="right"/>
        <w:outlineLvl w:val="3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Таблица 1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ПОРОГОВЫЕ ЗНАЧЕНИЯ ПОКАЗАТЕЛЕЙ И ВЫБОРА КАТЕГОРИИ</w:t>
      </w: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В ЗАВИСИМОСТИ ОТ ФАКТИЧЕСКИХ ЗНАЧЕНИЙ ПОКАЗАТЕЛЕЙ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2438"/>
        <w:gridCol w:w="2721"/>
      </w:tblGrid>
      <w:tr w:rsidR="00264CD3" w:rsidRPr="00876A48" w:rsidTr="00D509FA">
        <w:tc>
          <w:tcPr>
            <w:tcW w:w="1814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Коэффициенты</w:t>
            </w:r>
          </w:p>
        </w:tc>
        <w:tc>
          <w:tcPr>
            <w:tcW w:w="209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1 категория (хорошее значение показателя)</w:t>
            </w:r>
          </w:p>
        </w:tc>
        <w:tc>
          <w:tcPr>
            <w:tcW w:w="243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2 категория (удовлетворительное значение показателя)</w:t>
            </w:r>
          </w:p>
        </w:tc>
        <w:tc>
          <w:tcPr>
            <w:tcW w:w="272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3 категория (неудовлетворительное значение показателя)</w:t>
            </w:r>
          </w:p>
        </w:tc>
      </w:tr>
      <w:tr w:rsidR="00264CD3" w:rsidRPr="00876A48" w:rsidTr="00D509FA">
        <w:tc>
          <w:tcPr>
            <w:tcW w:w="1814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К1</w:t>
            </w:r>
          </w:p>
        </w:tc>
        <w:tc>
          <w:tcPr>
            <w:tcW w:w="209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более 0,2</w:t>
            </w:r>
          </w:p>
        </w:tc>
        <w:tc>
          <w:tcPr>
            <w:tcW w:w="243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0,1 - 0,2</w:t>
            </w:r>
          </w:p>
        </w:tc>
        <w:tc>
          <w:tcPr>
            <w:tcW w:w="272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менее 0,1</w:t>
            </w:r>
          </w:p>
        </w:tc>
      </w:tr>
      <w:tr w:rsidR="00264CD3" w:rsidRPr="00876A48" w:rsidTr="00D509FA">
        <w:tc>
          <w:tcPr>
            <w:tcW w:w="1814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К2</w:t>
            </w:r>
          </w:p>
        </w:tc>
        <w:tc>
          <w:tcPr>
            <w:tcW w:w="209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более 0,8</w:t>
            </w:r>
          </w:p>
        </w:tc>
        <w:tc>
          <w:tcPr>
            <w:tcW w:w="243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0,5 - 0,8</w:t>
            </w:r>
          </w:p>
        </w:tc>
        <w:tc>
          <w:tcPr>
            <w:tcW w:w="272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менее 0,5</w:t>
            </w:r>
          </w:p>
        </w:tc>
      </w:tr>
      <w:tr w:rsidR="00264CD3" w:rsidRPr="00876A48" w:rsidTr="00D509FA">
        <w:tc>
          <w:tcPr>
            <w:tcW w:w="1814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К3</w:t>
            </w:r>
          </w:p>
        </w:tc>
        <w:tc>
          <w:tcPr>
            <w:tcW w:w="209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более 2,0</w:t>
            </w:r>
          </w:p>
        </w:tc>
        <w:tc>
          <w:tcPr>
            <w:tcW w:w="243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1,0 - 2,0</w:t>
            </w:r>
          </w:p>
        </w:tc>
        <w:tc>
          <w:tcPr>
            <w:tcW w:w="272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менее 1,0</w:t>
            </w:r>
          </w:p>
        </w:tc>
      </w:tr>
      <w:tr w:rsidR="00264CD3" w:rsidRPr="00876A48" w:rsidTr="00D509FA">
        <w:tc>
          <w:tcPr>
            <w:tcW w:w="1814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К4</w:t>
            </w:r>
          </w:p>
        </w:tc>
        <w:tc>
          <w:tcPr>
            <w:tcW w:w="209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более 1,0</w:t>
            </w:r>
          </w:p>
        </w:tc>
        <w:tc>
          <w:tcPr>
            <w:tcW w:w="243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0,7 - 1,0</w:t>
            </w:r>
          </w:p>
        </w:tc>
        <w:tc>
          <w:tcPr>
            <w:tcW w:w="272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менее 0,7</w:t>
            </w:r>
          </w:p>
        </w:tc>
      </w:tr>
      <w:tr w:rsidR="00264CD3" w:rsidRPr="00876A48" w:rsidTr="00D509FA">
        <w:tc>
          <w:tcPr>
            <w:tcW w:w="1814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К5</w:t>
            </w:r>
          </w:p>
        </w:tc>
        <w:tc>
          <w:tcPr>
            <w:tcW w:w="209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более 0,15</w:t>
            </w:r>
          </w:p>
        </w:tc>
        <w:tc>
          <w:tcPr>
            <w:tcW w:w="243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0,01 - 0,15</w:t>
            </w:r>
          </w:p>
        </w:tc>
        <w:tc>
          <w:tcPr>
            <w:tcW w:w="272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менее 0 (нерентабельное)</w:t>
            </w:r>
          </w:p>
        </w:tc>
      </w:tr>
    </w:tbl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2.2.2. На основе категорий риска определяется значение сводной оценки (S), которая вычисляется по следующей формуле: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lastRenderedPageBreak/>
        <w:t>S = Вес1 x Кат1, + Вес2 x Кат2 + Вес3 x Кат3 + Вес4 x Кат4 + Вес5 x Кат5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Весi - вес показателя Kатi в сводной оценке, i = 1, 2, 3, 4. Значения весов представлены в таблице 2.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Kатi - категория, к которой относится значение показателя Ki.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jc w:val="right"/>
        <w:outlineLvl w:val="3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Таблица 2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ВЕС ПОКАЗАТЕЛЕЙ, ИСПОЛЬЗУЕМЫЙ ПРИ РАСЧЕТЕ</w:t>
      </w: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СВОДНОГО ПОКАЗАТЕЛЯ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2551"/>
      </w:tblGrid>
      <w:tr w:rsidR="00264CD3" w:rsidRPr="00876A48" w:rsidTr="00D509FA">
        <w:tc>
          <w:tcPr>
            <w:tcW w:w="6520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Показатель</w:t>
            </w:r>
          </w:p>
        </w:tc>
        <w:tc>
          <w:tcPr>
            <w:tcW w:w="255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Вес показателя</w:t>
            </w:r>
          </w:p>
        </w:tc>
      </w:tr>
      <w:tr w:rsidR="00264CD3" w:rsidRPr="00876A48" w:rsidTr="00D509FA">
        <w:tc>
          <w:tcPr>
            <w:tcW w:w="6520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Коэффициент абсолютной ликвидности (К1)</w:t>
            </w:r>
          </w:p>
        </w:tc>
        <w:tc>
          <w:tcPr>
            <w:tcW w:w="255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0,11</w:t>
            </w:r>
          </w:p>
        </w:tc>
      </w:tr>
      <w:tr w:rsidR="00264CD3" w:rsidRPr="00876A48" w:rsidTr="00D509FA">
        <w:tc>
          <w:tcPr>
            <w:tcW w:w="6520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Коэффициент быстрой ликвидности (К2)</w:t>
            </w:r>
          </w:p>
        </w:tc>
        <w:tc>
          <w:tcPr>
            <w:tcW w:w="255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0,05</w:t>
            </w:r>
          </w:p>
        </w:tc>
      </w:tr>
      <w:tr w:rsidR="00264CD3" w:rsidRPr="00876A48" w:rsidTr="00D509FA">
        <w:tc>
          <w:tcPr>
            <w:tcW w:w="6520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Коэффициент текущей ликвидности (К3)</w:t>
            </w:r>
          </w:p>
        </w:tc>
        <w:tc>
          <w:tcPr>
            <w:tcW w:w="255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0,42</w:t>
            </w:r>
          </w:p>
        </w:tc>
      </w:tr>
      <w:tr w:rsidR="00264CD3" w:rsidRPr="00876A48" w:rsidTr="00D509FA">
        <w:tc>
          <w:tcPr>
            <w:tcW w:w="6520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Соотношение собственных и заемных средств (К4)</w:t>
            </w:r>
          </w:p>
        </w:tc>
        <w:tc>
          <w:tcPr>
            <w:tcW w:w="255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0,21</w:t>
            </w:r>
          </w:p>
        </w:tc>
      </w:tr>
      <w:tr w:rsidR="00264CD3" w:rsidRPr="00876A48" w:rsidTr="00D509FA">
        <w:tc>
          <w:tcPr>
            <w:tcW w:w="6520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Коэффициент рентабельности (К5)</w:t>
            </w:r>
          </w:p>
        </w:tc>
        <w:tc>
          <w:tcPr>
            <w:tcW w:w="2551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0,21</w:t>
            </w:r>
          </w:p>
        </w:tc>
      </w:tr>
    </w:tbl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2.2.3. На основе значения сводного показателя юридическое лицо относится к одному из трех классов финансового состояния: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финансовое состояние является хорошим, если значение сводной оценки не превышает 1,05;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финансовое состояние является удовлетворительным, если значение сводной оценки больше 1,05, однако не превышает 2,4;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финансовое состояние является неудовлетворительным, если значение сводной оценки больше 2,4.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2.3. СВОДНЫЙ ПОКАЗАТЕЛЬ ФИНАНСОВОЙ УСТОЙЧИВОСТИ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2.3.1. Обобщающим показателем финансовой устойчивости является излишек или недостаток источников средств для формирования запасов и затрат, который определяется в виде разницы величины источников средств и величины запасов и затрат.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 основным источникам формирования запасов и затрат относятся: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собственные оборотные средства (СОС);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функциональный капитал (собственный капитал и долгосрочный заемный капитал) (ФК);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основные источники формирования запасов и затрат (функциональный капитал и краткосрочные кредиты и займы) (ОИФЗ).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Для выполнения оценки финансовой устойчивости рассчитываются следующие показатели: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2.3.2. Излишек (недостаток) собственных оборотных средств (Ес):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Ес = (стр. 1300 - стр. 1100 - стр. 1210), где: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стр. 1300 - собственный капитал предприятия и резервы </w:t>
      </w:r>
      <w:r w:rsidRPr="0067335D">
        <w:rPr>
          <w:rFonts w:ascii="Liberation Serif" w:hAnsi="Liberation Serif"/>
          <w:color w:val="000000" w:themeColor="text1"/>
          <w:sz w:val="24"/>
          <w:szCs w:val="24"/>
        </w:rPr>
        <w:t>(</w:t>
      </w:r>
      <w:hyperlink r:id="rId11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итог раздела III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бухгалтерского баланса);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стр. 1100 - внеоборотные активы </w:t>
      </w:r>
      <w:r w:rsidRPr="0067335D">
        <w:rPr>
          <w:rFonts w:ascii="Liberation Serif" w:hAnsi="Liberation Serif"/>
          <w:color w:val="000000" w:themeColor="text1"/>
          <w:sz w:val="24"/>
          <w:szCs w:val="24"/>
        </w:rPr>
        <w:t>(</w:t>
      </w:r>
      <w:hyperlink r:id="rId12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итог раздела I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бухгалтерского баланса);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1210 - запасы.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2.3.3. Излишек (недостаток) долгосрочных источников финансирования: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Ед = (стр. 1300 - стр. 1100 + стр. 1410 - стр. 1210), где: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1300 - собственный капитал предприятия и резервы (</w:t>
      </w:r>
      <w:hyperlink r:id="rId13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итог раздела III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бухгалтерского баланса);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1100 - внеоборотные активы (</w:t>
      </w:r>
      <w:hyperlink r:id="rId14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итог раздела I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бухгалтерского баланса);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1410 - долгосрочные заемные средства;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1210 - запасы.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2.3.4. Излишек (недостаток) общей величины источников финансирования: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Ео = (стр. 1300 - стр. 1100 + стр. 1410 + стр. 1510+ стр. 1520 - стр. 1210), где: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1300 - собственный капитал предприятия и резервы (</w:t>
      </w:r>
      <w:hyperlink r:id="rId15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итог раздела III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бухгалтерского баланса);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1100 - внеоборотные активы (</w:t>
      </w:r>
      <w:hyperlink r:id="rId16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итог раздела I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бухгалтерского баланса);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1410 - долгосрочные заемные средства;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1510 - краткосрочные заемные средства;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1520 - краткосрочная кредиторская задолженность;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стр. 1210 - запасы.</w:t>
      </w:r>
    </w:p>
    <w:p w:rsidR="00264CD3" w:rsidRPr="0067335D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Финансовая устойчивость определяется в соответствии с </w:t>
      </w:r>
      <w:hyperlink w:anchor="P209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таблицей 3</w:t>
        </w:r>
      </w:hyperlink>
      <w:r w:rsidRPr="0067335D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Финансовое состояние является устойчивым, если запасы и затраты сформированы за счет функционального капитала.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Финансовое состояние является неустойчивым, если запасы и затраты сформированы за счет основных источников формирования запасов и затрат.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В том случае, если для формирования запасов и затрат недостаточно основных источников формирования запасов и затрат, финансовое состояние является кризисным.</w:t>
      </w:r>
    </w:p>
    <w:p w:rsidR="00264CD3" w:rsidRPr="00876A48" w:rsidRDefault="0067335D" w:rsidP="00264CD3">
      <w:pPr>
        <w:pStyle w:val="ConsPlusNormal"/>
        <w:jc w:val="right"/>
        <w:outlineLvl w:val="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</w:t>
      </w:r>
      <w:r w:rsidR="00264CD3" w:rsidRPr="00876A48">
        <w:rPr>
          <w:rFonts w:ascii="Liberation Serif" w:hAnsi="Liberation Serif"/>
          <w:sz w:val="24"/>
          <w:szCs w:val="24"/>
        </w:rPr>
        <w:t>аблица 3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2" w:name="P209"/>
      <w:bookmarkEnd w:id="2"/>
      <w:r w:rsidRPr="00876A48">
        <w:rPr>
          <w:rFonts w:ascii="Liberation Serif" w:hAnsi="Liberation Serif"/>
          <w:sz w:val="24"/>
          <w:szCs w:val="24"/>
        </w:rPr>
        <w:t>ФИНАНСОВАЯ УСТОЙЧИВОСТЬ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304"/>
        <w:gridCol w:w="1304"/>
        <w:gridCol w:w="1417"/>
        <w:gridCol w:w="3118"/>
      </w:tblGrid>
      <w:tr w:rsidR="00264CD3" w:rsidRPr="00876A48" w:rsidTr="00D509FA">
        <w:tc>
          <w:tcPr>
            <w:tcW w:w="192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 xml:space="preserve">Трехмерный </w:t>
            </w:r>
            <w:r w:rsidRPr="00876A48">
              <w:rPr>
                <w:rFonts w:ascii="Liberation Serif" w:hAnsi="Liberation Serif"/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4025" w:type="dxa"/>
            <w:gridSpan w:val="3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lastRenderedPageBreak/>
              <w:t>Значение показателей</w:t>
            </w:r>
          </w:p>
        </w:tc>
        <w:tc>
          <w:tcPr>
            <w:tcW w:w="311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Финансовая устойчивость</w:t>
            </w:r>
          </w:p>
        </w:tc>
      </w:tr>
      <w:tr w:rsidR="00264CD3" w:rsidRPr="00876A48" w:rsidTr="00D509FA">
        <w:tc>
          <w:tcPr>
            <w:tcW w:w="1928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lastRenderedPageBreak/>
              <w:t>S = (1, 1, 1)</w:t>
            </w:r>
          </w:p>
        </w:tc>
        <w:tc>
          <w:tcPr>
            <w:tcW w:w="1304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Ес &gt; 0</w:t>
            </w:r>
          </w:p>
        </w:tc>
        <w:tc>
          <w:tcPr>
            <w:tcW w:w="1304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Ед &gt; 0</w:t>
            </w:r>
          </w:p>
        </w:tc>
        <w:tc>
          <w:tcPr>
            <w:tcW w:w="1417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Ео &gt; 0</w:t>
            </w:r>
          </w:p>
        </w:tc>
        <w:tc>
          <w:tcPr>
            <w:tcW w:w="3118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отличная</w:t>
            </w:r>
          </w:p>
        </w:tc>
      </w:tr>
      <w:tr w:rsidR="00264CD3" w:rsidRPr="00876A48" w:rsidTr="00D509FA">
        <w:tc>
          <w:tcPr>
            <w:tcW w:w="1928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S = (0, 1, 1)</w:t>
            </w:r>
          </w:p>
        </w:tc>
        <w:tc>
          <w:tcPr>
            <w:tcW w:w="1304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Ес &lt; 0</w:t>
            </w:r>
          </w:p>
        </w:tc>
        <w:tc>
          <w:tcPr>
            <w:tcW w:w="1304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Ед &gt; 0</w:t>
            </w:r>
          </w:p>
        </w:tc>
        <w:tc>
          <w:tcPr>
            <w:tcW w:w="1417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Ео &gt; 0</w:t>
            </w:r>
          </w:p>
        </w:tc>
        <w:tc>
          <w:tcPr>
            <w:tcW w:w="3118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хорошая</w:t>
            </w:r>
          </w:p>
        </w:tc>
      </w:tr>
      <w:tr w:rsidR="00264CD3" w:rsidRPr="00876A48" w:rsidTr="00D509FA">
        <w:tc>
          <w:tcPr>
            <w:tcW w:w="1928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S = (0, 0, 1)</w:t>
            </w:r>
          </w:p>
        </w:tc>
        <w:tc>
          <w:tcPr>
            <w:tcW w:w="1304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Ес &lt; 0</w:t>
            </w:r>
          </w:p>
        </w:tc>
        <w:tc>
          <w:tcPr>
            <w:tcW w:w="1304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Ед &lt; 0</w:t>
            </w:r>
          </w:p>
        </w:tc>
        <w:tc>
          <w:tcPr>
            <w:tcW w:w="1417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Ео &gt; 0</w:t>
            </w:r>
          </w:p>
        </w:tc>
        <w:tc>
          <w:tcPr>
            <w:tcW w:w="3118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удовлетворительная</w:t>
            </w:r>
          </w:p>
        </w:tc>
      </w:tr>
      <w:tr w:rsidR="00264CD3" w:rsidRPr="00876A48" w:rsidTr="00D509FA">
        <w:tc>
          <w:tcPr>
            <w:tcW w:w="1928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S = (0, 0, 0)</w:t>
            </w:r>
          </w:p>
        </w:tc>
        <w:tc>
          <w:tcPr>
            <w:tcW w:w="1304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Ес &lt; 0</w:t>
            </w:r>
          </w:p>
        </w:tc>
        <w:tc>
          <w:tcPr>
            <w:tcW w:w="1304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Ед &lt; 0</w:t>
            </w:r>
          </w:p>
        </w:tc>
        <w:tc>
          <w:tcPr>
            <w:tcW w:w="1417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Ео &lt; 0</w:t>
            </w:r>
          </w:p>
        </w:tc>
        <w:tc>
          <w:tcPr>
            <w:tcW w:w="3118" w:type="dxa"/>
          </w:tcPr>
          <w:p w:rsidR="00264CD3" w:rsidRPr="00876A48" w:rsidRDefault="00264CD3" w:rsidP="00D509F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неудовлетворительная</w:t>
            </w:r>
          </w:p>
        </w:tc>
      </w:tr>
    </w:tbl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2.4. Общая оценка финансового состояния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2.4.1. По итогам оценки сводных показателей финансового состояния и финансовой устойчивости определяется общая оценка финансового состояния.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2.4.2. Общая оценка финансового состояния определяется путем подсчета количества баллов по показателям, подлежащим занесению в таблицу 4.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jc w:val="right"/>
        <w:outlineLvl w:val="3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Таблица 4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ОБЩАЯ ОЦЕНКА ФИНАНСОВОГО СОСТОЯНИЯ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81"/>
        <w:gridCol w:w="2778"/>
        <w:gridCol w:w="3288"/>
      </w:tblGrid>
      <w:tr w:rsidR="00264CD3" w:rsidRPr="00876A48" w:rsidTr="00D509FA">
        <w:tc>
          <w:tcPr>
            <w:tcW w:w="624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N п/п</w:t>
            </w:r>
          </w:p>
        </w:tc>
        <w:tc>
          <w:tcPr>
            <w:tcW w:w="5159" w:type="dxa"/>
            <w:gridSpan w:val="2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8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Количество баллов</w:t>
            </w:r>
          </w:p>
        </w:tc>
      </w:tr>
      <w:tr w:rsidR="00264CD3" w:rsidRPr="00876A48" w:rsidTr="00D509FA">
        <w:tc>
          <w:tcPr>
            <w:tcW w:w="624" w:type="dxa"/>
            <w:vMerge w:val="restart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381" w:type="dxa"/>
            <w:vMerge w:val="restart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Сводный показатель финансового состояния</w:t>
            </w:r>
          </w:p>
        </w:tc>
        <w:tc>
          <w:tcPr>
            <w:tcW w:w="277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хорошее</w:t>
            </w:r>
          </w:p>
        </w:tc>
        <w:tc>
          <w:tcPr>
            <w:tcW w:w="328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264CD3" w:rsidRPr="00876A48" w:rsidTr="00D509FA">
        <w:tc>
          <w:tcPr>
            <w:tcW w:w="624" w:type="dxa"/>
            <w:vMerge/>
          </w:tcPr>
          <w:p w:rsidR="00264CD3" w:rsidRPr="00876A48" w:rsidRDefault="00264CD3" w:rsidP="00D509FA">
            <w:pPr>
              <w:rPr>
                <w:rFonts w:ascii="Liberation Serif" w:hAnsi="Liberation Serif"/>
              </w:rPr>
            </w:pPr>
          </w:p>
        </w:tc>
        <w:tc>
          <w:tcPr>
            <w:tcW w:w="2381" w:type="dxa"/>
            <w:vMerge/>
          </w:tcPr>
          <w:p w:rsidR="00264CD3" w:rsidRPr="00876A48" w:rsidRDefault="00264CD3" w:rsidP="00D509FA">
            <w:pPr>
              <w:rPr>
                <w:rFonts w:ascii="Liberation Serif" w:hAnsi="Liberation Serif"/>
              </w:rPr>
            </w:pPr>
          </w:p>
        </w:tc>
        <w:tc>
          <w:tcPr>
            <w:tcW w:w="277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удовлетворительное</w:t>
            </w:r>
          </w:p>
        </w:tc>
        <w:tc>
          <w:tcPr>
            <w:tcW w:w="328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264CD3" w:rsidRPr="00876A48" w:rsidTr="00D509FA">
        <w:tc>
          <w:tcPr>
            <w:tcW w:w="624" w:type="dxa"/>
            <w:vMerge/>
          </w:tcPr>
          <w:p w:rsidR="00264CD3" w:rsidRPr="00876A48" w:rsidRDefault="00264CD3" w:rsidP="00D509FA">
            <w:pPr>
              <w:rPr>
                <w:rFonts w:ascii="Liberation Serif" w:hAnsi="Liberation Serif"/>
              </w:rPr>
            </w:pPr>
          </w:p>
        </w:tc>
        <w:tc>
          <w:tcPr>
            <w:tcW w:w="2381" w:type="dxa"/>
            <w:vMerge/>
          </w:tcPr>
          <w:p w:rsidR="00264CD3" w:rsidRPr="00876A48" w:rsidRDefault="00264CD3" w:rsidP="00D509FA">
            <w:pPr>
              <w:rPr>
                <w:rFonts w:ascii="Liberation Serif" w:hAnsi="Liberation Serif"/>
              </w:rPr>
            </w:pPr>
          </w:p>
        </w:tc>
        <w:tc>
          <w:tcPr>
            <w:tcW w:w="277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неудовлетворительное</w:t>
            </w:r>
          </w:p>
        </w:tc>
        <w:tc>
          <w:tcPr>
            <w:tcW w:w="328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- 1</w:t>
            </w:r>
          </w:p>
        </w:tc>
      </w:tr>
      <w:tr w:rsidR="00264CD3" w:rsidRPr="00876A48" w:rsidTr="00D509FA">
        <w:tc>
          <w:tcPr>
            <w:tcW w:w="624" w:type="dxa"/>
            <w:vMerge w:val="restart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381" w:type="dxa"/>
            <w:vMerge w:val="restart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Сводный показатель финансовой устойчивости</w:t>
            </w:r>
          </w:p>
        </w:tc>
        <w:tc>
          <w:tcPr>
            <w:tcW w:w="277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отличное</w:t>
            </w:r>
          </w:p>
        </w:tc>
        <w:tc>
          <w:tcPr>
            <w:tcW w:w="328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264CD3" w:rsidRPr="00876A48" w:rsidTr="00D509FA">
        <w:tc>
          <w:tcPr>
            <w:tcW w:w="624" w:type="dxa"/>
            <w:vMerge/>
          </w:tcPr>
          <w:p w:rsidR="00264CD3" w:rsidRPr="00876A48" w:rsidRDefault="00264CD3" w:rsidP="00D509FA">
            <w:pPr>
              <w:rPr>
                <w:rFonts w:ascii="Liberation Serif" w:hAnsi="Liberation Serif"/>
              </w:rPr>
            </w:pPr>
          </w:p>
        </w:tc>
        <w:tc>
          <w:tcPr>
            <w:tcW w:w="2381" w:type="dxa"/>
            <w:vMerge/>
          </w:tcPr>
          <w:p w:rsidR="00264CD3" w:rsidRPr="00876A48" w:rsidRDefault="00264CD3" w:rsidP="00D509FA">
            <w:pPr>
              <w:rPr>
                <w:rFonts w:ascii="Liberation Serif" w:hAnsi="Liberation Serif"/>
              </w:rPr>
            </w:pPr>
          </w:p>
        </w:tc>
        <w:tc>
          <w:tcPr>
            <w:tcW w:w="277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хорошее</w:t>
            </w:r>
          </w:p>
        </w:tc>
        <w:tc>
          <w:tcPr>
            <w:tcW w:w="328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264CD3" w:rsidRPr="00876A48" w:rsidTr="00D509FA">
        <w:tc>
          <w:tcPr>
            <w:tcW w:w="624" w:type="dxa"/>
            <w:vMerge/>
          </w:tcPr>
          <w:p w:rsidR="00264CD3" w:rsidRPr="00876A48" w:rsidRDefault="00264CD3" w:rsidP="00D509FA">
            <w:pPr>
              <w:rPr>
                <w:rFonts w:ascii="Liberation Serif" w:hAnsi="Liberation Serif"/>
              </w:rPr>
            </w:pPr>
          </w:p>
        </w:tc>
        <w:tc>
          <w:tcPr>
            <w:tcW w:w="2381" w:type="dxa"/>
            <w:vMerge/>
          </w:tcPr>
          <w:p w:rsidR="00264CD3" w:rsidRPr="00876A48" w:rsidRDefault="00264CD3" w:rsidP="00D509FA">
            <w:pPr>
              <w:rPr>
                <w:rFonts w:ascii="Liberation Serif" w:hAnsi="Liberation Serif"/>
              </w:rPr>
            </w:pPr>
          </w:p>
        </w:tc>
        <w:tc>
          <w:tcPr>
            <w:tcW w:w="277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удовлетворительное</w:t>
            </w:r>
          </w:p>
        </w:tc>
        <w:tc>
          <w:tcPr>
            <w:tcW w:w="328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264CD3" w:rsidRPr="00876A48" w:rsidTr="00D509FA">
        <w:tc>
          <w:tcPr>
            <w:tcW w:w="624" w:type="dxa"/>
            <w:vMerge/>
          </w:tcPr>
          <w:p w:rsidR="00264CD3" w:rsidRPr="00876A48" w:rsidRDefault="00264CD3" w:rsidP="00D509FA">
            <w:pPr>
              <w:rPr>
                <w:rFonts w:ascii="Liberation Serif" w:hAnsi="Liberation Serif"/>
              </w:rPr>
            </w:pPr>
          </w:p>
        </w:tc>
        <w:tc>
          <w:tcPr>
            <w:tcW w:w="2381" w:type="dxa"/>
            <w:vMerge/>
          </w:tcPr>
          <w:p w:rsidR="00264CD3" w:rsidRPr="00876A48" w:rsidRDefault="00264CD3" w:rsidP="00D509FA">
            <w:pPr>
              <w:rPr>
                <w:rFonts w:ascii="Liberation Serif" w:hAnsi="Liberation Serif"/>
              </w:rPr>
            </w:pPr>
          </w:p>
        </w:tc>
        <w:tc>
          <w:tcPr>
            <w:tcW w:w="277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неудовлетворительное</w:t>
            </w:r>
          </w:p>
        </w:tc>
        <w:tc>
          <w:tcPr>
            <w:tcW w:w="328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- 1</w:t>
            </w:r>
          </w:p>
        </w:tc>
      </w:tr>
      <w:tr w:rsidR="00264CD3" w:rsidRPr="00876A48" w:rsidTr="00D509FA">
        <w:tc>
          <w:tcPr>
            <w:tcW w:w="3005" w:type="dxa"/>
            <w:gridSpan w:val="2"/>
            <w:vMerge w:val="restart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Общая оценка финансового состояния</w:t>
            </w:r>
          </w:p>
        </w:tc>
        <w:tc>
          <w:tcPr>
            <w:tcW w:w="277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удовлетворительное</w:t>
            </w:r>
          </w:p>
        </w:tc>
        <w:tc>
          <w:tcPr>
            <w:tcW w:w="328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от 0 до 2 (включительно)</w:t>
            </w:r>
          </w:p>
        </w:tc>
      </w:tr>
      <w:tr w:rsidR="00264CD3" w:rsidRPr="00876A48" w:rsidTr="00D509FA">
        <w:tc>
          <w:tcPr>
            <w:tcW w:w="3005" w:type="dxa"/>
            <w:gridSpan w:val="2"/>
            <w:vMerge/>
          </w:tcPr>
          <w:p w:rsidR="00264CD3" w:rsidRPr="00876A48" w:rsidRDefault="00264CD3" w:rsidP="00D509FA">
            <w:pPr>
              <w:rPr>
                <w:rFonts w:ascii="Liberation Serif" w:hAnsi="Liberation Serif"/>
              </w:rPr>
            </w:pPr>
          </w:p>
        </w:tc>
        <w:tc>
          <w:tcPr>
            <w:tcW w:w="277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неудовлетворительное</w:t>
            </w:r>
          </w:p>
        </w:tc>
        <w:tc>
          <w:tcPr>
            <w:tcW w:w="3288" w:type="dxa"/>
          </w:tcPr>
          <w:p w:rsidR="00264CD3" w:rsidRPr="00876A48" w:rsidRDefault="00264CD3" w:rsidP="00D509F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76A48">
              <w:rPr>
                <w:rFonts w:ascii="Liberation Serif" w:hAnsi="Liberation Serif"/>
                <w:sz w:val="24"/>
                <w:szCs w:val="24"/>
              </w:rPr>
              <w:t>от - 1 до - 2 (включительно)</w:t>
            </w:r>
          </w:p>
        </w:tc>
      </w:tr>
    </w:tbl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2.4.3. На основе значения общей оценки финансового состояния юридическое лицо относится к одному из двух классов финансового состояния: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финансовое состояние является удовлетворительным, если значение общей оценки находится в диапазоне от 0 до 2 (включительно);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финансовое состояние является неудовлетворительным, если значение общей оценки находится в диапазоне от -1 до -2 (включительно).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Приложение N 2</w:t>
      </w:r>
    </w:p>
    <w:p w:rsidR="00264CD3" w:rsidRPr="00876A48" w:rsidRDefault="00264CD3" w:rsidP="00264CD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264CD3" w:rsidRPr="00876A48" w:rsidRDefault="0067335D" w:rsidP="00264CD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Ирбитского муниц</w:t>
      </w:r>
      <w:r w:rsidR="000E05C5">
        <w:rPr>
          <w:rFonts w:ascii="Liberation Serif" w:hAnsi="Liberation Serif"/>
          <w:sz w:val="24"/>
          <w:szCs w:val="24"/>
        </w:rPr>
        <w:t>и</w:t>
      </w:r>
      <w:r>
        <w:rPr>
          <w:rFonts w:ascii="Liberation Serif" w:hAnsi="Liberation Serif"/>
          <w:sz w:val="24"/>
          <w:szCs w:val="24"/>
        </w:rPr>
        <w:t>пального образования</w:t>
      </w:r>
    </w:p>
    <w:p w:rsidR="00264CD3" w:rsidRPr="00876A48" w:rsidRDefault="00264CD3" w:rsidP="00264CD3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от </w:t>
      </w:r>
      <w:r w:rsidR="0067335D">
        <w:rPr>
          <w:rFonts w:ascii="Liberation Serif" w:hAnsi="Liberation Serif"/>
          <w:sz w:val="24"/>
          <w:szCs w:val="24"/>
        </w:rPr>
        <w:t xml:space="preserve">                               </w:t>
      </w:r>
      <w:r w:rsidRPr="00876A48">
        <w:rPr>
          <w:rFonts w:ascii="Liberation Serif" w:hAnsi="Liberation Serif"/>
          <w:sz w:val="24"/>
          <w:szCs w:val="24"/>
        </w:rPr>
        <w:t xml:space="preserve">2020 г. N </w:t>
      </w:r>
      <w:r w:rsidR="0067335D">
        <w:rPr>
          <w:rFonts w:ascii="Liberation Serif" w:hAnsi="Liberation Serif"/>
          <w:sz w:val="24"/>
          <w:szCs w:val="24"/>
        </w:rPr>
        <w:t xml:space="preserve">          </w:t>
      </w:r>
      <w:r w:rsidRPr="00876A48">
        <w:rPr>
          <w:rFonts w:ascii="Liberation Serif" w:hAnsi="Liberation Serif"/>
          <w:sz w:val="24"/>
          <w:szCs w:val="24"/>
        </w:rPr>
        <w:t>-ПА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3" w:name="P284"/>
      <w:bookmarkEnd w:id="3"/>
      <w:r w:rsidRPr="00876A48">
        <w:rPr>
          <w:rFonts w:ascii="Liberation Serif" w:hAnsi="Liberation Serif"/>
          <w:sz w:val="24"/>
          <w:szCs w:val="24"/>
        </w:rPr>
        <w:t>ПОРЯДОК</w:t>
      </w: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ОСУЩЕСТВЛЕНИЯ ПРОВЕРКИ ДОСТАТОЧНОСТИ, НАДЕЖНОСТИ</w:t>
      </w: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И ЛИКВИДНОСТИ ОБЕСПЕЧЕНИЯ ПРИ ПРЕДОСТАВЛЕНИИ</w:t>
      </w: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МУНИЦИПАЛЬНОЙ ГАРАНТИИ </w:t>
      </w:r>
      <w:r w:rsidR="0067335D">
        <w:rPr>
          <w:rFonts w:ascii="Liberation Serif" w:hAnsi="Liberation Serif"/>
          <w:sz w:val="24"/>
          <w:szCs w:val="24"/>
        </w:rPr>
        <w:t>ИРБИТСКОГО МУНИЦПАЛЬНОГО ОБРАЗОВАНИЯ</w:t>
      </w:r>
      <w:r w:rsidRPr="00876A48">
        <w:rPr>
          <w:rFonts w:ascii="Liberation Serif" w:hAnsi="Liberation Serif"/>
          <w:sz w:val="24"/>
          <w:szCs w:val="24"/>
        </w:rPr>
        <w:t>,</w:t>
      </w:r>
      <w:r w:rsidR="0067335D">
        <w:rPr>
          <w:rFonts w:ascii="Liberation Serif" w:hAnsi="Liberation Serif"/>
          <w:sz w:val="24"/>
          <w:szCs w:val="24"/>
        </w:rPr>
        <w:t xml:space="preserve"> </w:t>
      </w:r>
      <w:r w:rsidRPr="00876A48">
        <w:rPr>
          <w:rFonts w:ascii="Liberation Serif" w:hAnsi="Liberation Serif"/>
          <w:sz w:val="24"/>
          <w:szCs w:val="24"/>
        </w:rPr>
        <w:t>А ТАКЖЕ КОНТРОЛЯ ЗА ДОСТАТОЧНОСТЬЮ, НАДЕЖНОСТЬЮ</w:t>
      </w: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ПРЕДОСТАВЛЕННОГО ОБЕСПЕЧЕНИЯ ПОСЛЕ ПРЕДОСТАВЛЕНИЯ</w:t>
      </w:r>
    </w:p>
    <w:p w:rsidR="00264CD3" w:rsidRPr="00876A48" w:rsidRDefault="00264CD3" w:rsidP="00264CD3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МУНИЦИПАЛЬНОЙ ГАРАНТИИ </w:t>
      </w:r>
      <w:r w:rsidR="0067335D">
        <w:rPr>
          <w:rFonts w:ascii="Liberation Serif" w:hAnsi="Liberation Serif"/>
          <w:sz w:val="24"/>
          <w:szCs w:val="24"/>
        </w:rPr>
        <w:t>ИРБИТСКОГО МУНИЦИПАЛЬНОГО ОБРАЗОВАНИЯ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1. ОБЩИЕ ПОЛОЖЕНИЯ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264CD3" w:rsidRPr="00876A48" w:rsidRDefault="00264CD3" w:rsidP="00264CD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1. Настоящий Порядок устанавливает требования к осуществлению проверки достаточности, надежности и ликвидности обеспечения при предоставлении муниципальной гарантии </w:t>
      </w:r>
      <w:r w:rsidR="0067335D">
        <w:rPr>
          <w:rFonts w:ascii="Liberation Serif" w:hAnsi="Liberation Serif"/>
          <w:sz w:val="24"/>
          <w:szCs w:val="24"/>
        </w:rPr>
        <w:t xml:space="preserve">Ирбитского муниципального образования </w:t>
      </w:r>
      <w:r w:rsidRPr="00876A48">
        <w:rPr>
          <w:rFonts w:ascii="Liberation Serif" w:hAnsi="Liberation Serif"/>
          <w:sz w:val="24"/>
          <w:szCs w:val="24"/>
        </w:rPr>
        <w:t xml:space="preserve"> (далее - муниципальная гарантия), а также контроля за достаточностью, надежностью и ликвидностью предоставленного обеспечения после предоставления муниципальной гарантии.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2. В качестве обеспечения исполнения обязательств принципала по удовлетворению регрессного требования гаранта к принципалу в связи с исполнением в полном объеме или в какой-либо части гарантии может приниматься один или несколько из следующих видов обеспечения: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4" w:name="P296"/>
      <w:bookmarkEnd w:id="4"/>
      <w:r w:rsidRPr="00876A48">
        <w:rPr>
          <w:rFonts w:ascii="Liberation Serif" w:hAnsi="Liberation Serif"/>
          <w:sz w:val="24"/>
          <w:szCs w:val="24"/>
        </w:rPr>
        <w:t>а) государственная или муниципальная гарантия;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5" w:name="P297"/>
      <w:bookmarkEnd w:id="5"/>
      <w:r w:rsidRPr="00876A48">
        <w:rPr>
          <w:rFonts w:ascii="Liberation Serif" w:hAnsi="Liberation Serif"/>
          <w:sz w:val="24"/>
          <w:szCs w:val="24"/>
        </w:rPr>
        <w:t>б) поручительство юридического лица;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6" w:name="P298"/>
      <w:bookmarkEnd w:id="6"/>
      <w:r w:rsidRPr="00876A48">
        <w:rPr>
          <w:rFonts w:ascii="Liberation Serif" w:hAnsi="Liberation Serif"/>
          <w:sz w:val="24"/>
          <w:szCs w:val="24"/>
        </w:rPr>
        <w:t>в) банковская гарантия кредитной организации, не являющейся кредитором принципала по кредиту, обеспечиваемому гарантией;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г) залог имущества принципала или третьего лица.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3. Не допускается принятие в качестве обеспечения исполнения обязательств: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а) государственных гарантий иностранных государств, государственных (муниципальных) гарантий публично-правовых образований, имеющих просроченную (неурегулированную) задолженность по денежным обязательствам перед </w:t>
      </w:r>
      <w:r w:rsidR="0067335D">
        <w:rPr>
          <w:rFonts w:ascii="Liberation Serif" w:hAnsi="Liberation Serif"/>
          <w:sz w:val="24"/>
          <w:szCs w:val="24"/>
        </w:rPr>
        <w:t>Ирбитским муниципальным образованием</w:t>
      </w:r>
      <w:r w:rsidRPr="00876A48">
        <w:rPr>
          <w:rFonts w:ascii="Liberation Serif" w:hAnsi="Liberation Serif"/>
          <w:sz w:val="24"/>
          <w:szCs w:val="24"/>
        </w:rPr>
        <w:t>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б) банковских гарантий и поручительств юридических лиц, имеющих просроченную (неурегулированную) задолженность по денежным обязательствам перед </w:t>
      </w:r>
      <w:r w:rsidR="0067335D">
        <w:rPr>
          <w:rFonts w:ascii="Liberation Serif" w:hAnsi="Liberation Serif"/>
          <w:sz w:val="24"/>
          <w:szCs w:val="24"/>
        </w:rPr>
        <w:t>Ирбитским муниципальным образованием</w:t>
      </w:r>
      <w:r w:rsidRPr="00876A48">
        <w:rPr>
          <w:rFonts w:ascii="Liberation Serif" w:hAnsi="Liberation Serif"/>
          <w:sz w:val="24"/>
          <w:szCs w:val="24"/>
        </w:rPr>
        <w:t xml:space="preserve"> и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в) банковских гарантий и поручительств юридических лиц, стоимость чистых активов которых меньше величины, составляющей трехкратную сумму предоставляемой банковской гарантии (предоставляемого поручительства), 2 юридических лиц, в отношении которых возбуждено производство по делу о несостоятельности (банкротстве), юридических лиц, </w:t>
      </w:r>
      <w:r w:rsidRPr="00876A48">
        <w:rPr>
          <w:rFonts w:ascii="Liberation Serif" w:hAnsi="Liberation Serif"/>
          <w:sz w:val="24"/>
          <w:szCs w:val="24"/>
        </w:rPr>
        <w:lastRenderedPageBreak/>
        <w:t>которые находятся в процессе реорганизации или ликвидации.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4. Проверку достаточности, надежности и ликвидности обеспечения в соответствии с </w:t>
      </w:r>
      <w:hyperlink w:anchor="P296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подпунктами "а"</w:t>
        </w:r>
      </w:hyperlink>
      <w:r w:rsidRPr="0067335D">
        <w:rPr>
          <w:rFonts w:ascii="Liberation Serif" w:hAnsi="Liberation Serif"/>
          <w:color w:val="000000" w:themeColor="text1"/>
          <w:sz w:val="24"/>
          <w:szCs w:val="24"/>
        </w:rPr>
        <w:t xml:space="preserve">, </w:t>
      </w:r>
      <w:hyperlink w:anchor="P297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"б"</w:t>
        </w:r>
      </w:hyperlink>
      <w:r w:rsidRPr="0067335D">
        <w:rPr>
          <w:rFonts w:ascii="Liberation Serif" w:hAnsi="Liberation Serif"/>
          <w:color w:val="000000" w:themeColor="text1"/>
          <w:sz w:val="24"/>
          <w:szCs w:val="24"/>
        </w:rPr>
        <w:t xml:space="preserve">, </w:t>
      </w:r>
      <w:hyperlink w:anchor="P298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"в" пункта 2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настоящего Порядка проводит Финансовое управление администрации </w:t>
      </w:r>
      <w:r w:rsidR="0067335D">
        <w:rPr>
          <w:rFonts w:ascii="Liberation Serif" w:hAnsi="Liberation Serif"/>
          <w:sz w:val="24"/>
          <w:szCs w:val="24"/>
        </w:rPr>
        <w:t xml:space="preserve">Ирбитского муниципального образования </w:t>
      </w:r>
      <w:r w:rsidRPr="00876A48">
        <w:rPr>
          <w:rFonts w:ascii="Liberation Serif" w:hAnsi="Liberation Serif"/>
          <w:sz w:val="24"/>
          <w:szCs w:val="24"/>
        </w:rPr>
        <w:t xml:space="preserve"> (далее - Финансовое управление) при предоставлении муниципальной гарантии, а также после представления муниципальной гарантии в течение срока действия предоставленной муниципальной гарантии ежегодно не позднее 1 июня до прекращения обязательств по муниципальной гарантии.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5. Осуществление проверки достаточности, надежности и ликвидности обеспечения осуществляется на основе анализа документов, предоставляемых принципалом в целях получения муниципальных гарантий в соответствии с Перечнем документов, утвержденным муниципальным правовым актом </w:t>
      </w:r>
      <w:r w:rsidR="000E788D">
        <w:rPr>
          <w:rFonts w:ascii="Liberation Serif" w:hAnsi="Liberation Serif"/>
          <w:sz w:val="24"/>
          <w:szCs w:val="24"/>
        </w:rPr>
        <w:t xml:space="preserve">Думы </w:t>
      </w:r>
      <w:r w:rsidR="0067335D">
        <w:rPr>
          <w:rFonts w:ascii="Liberation Serif" w:hAnsi="Liberation Serif"/>
          <w:sz w:val="24"/>
          <w:szCs w:val="24"/>
        </w:rPr>
        <w:t>Ирбитского муниципального образования</w:t>
      </w:r>
      <w:r w:rsidRPr="00876A48">
        <w:rPr>
          <w:rFonts w:ascii="Liberation Serif" w:hAnsi="Liberation Serif"/>
          <w:sz w:val="24"/>
          <w:szCs w:val="24"/>
        </w:rPr>
        <w:t>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6. Проверка достаточности обеспечения заключается в определении соответствия предоставляемого (предоставленного) обеспечения требованиям к минимальному объему (сумме) обеспечения исполнения обязательств принципала по удовлетворению регрессного требования гаранта к принципалу по муниципальной гарантии, предусмотренным По</w:t>
      </w:r>
      <w:r w:rsidR="000E788D">
        <w:rPr>
          <w:rFonts w:ascii="Liberation Serif" w:hAnsi="Liberation Serif"/>
          <w:sz w:val="24"/>
          <w:szCs w:val="24"/>
        </w:rPr>
        <w:t xml:space="preserve">становлением администрации </w:t>
      </w:r>
      <w:r w:rsidR="000E788D" w:rsidRPr="004A3F74">
        <w:rPr>
          <w:rFonts w:ascii="Liberation Serif" w:hAnsi="Liberation Serif"/>
          <w:sz w:val="24"/>
          <w:szCs w:val="24"/>
        </w:rPr>
        <w:t>Ирбитского муниципальног</w:t>
      </w:r>
      <w:r w:rsidR="004A3F74" w:rsidRPr="004A3F74">
        <w:rPr>
          <w:rFonts w:ascii="Liberation Serif" w:hAnsi="Liberation Serif"/>
          <w:sz w:val="24"/>
          <w:szCs w:val="24"/>
        </w:rPr>
        <w:t>о</w:t>
      </w:r>
      <w:r w:rsidR="000E788D" w:rsidRPr="004A3F74">
        <w:rPr>
          <w:rFonts w:ascii="Liberation Serif" w:hAnsi="Liberation Serif"/>
          <w:sz w:val="24"/>
          <w:szCs w:val="24"/>
        </w:rPr>
        <w:t xml:space="preserve"> образования</w:t>
      </w:r>
      <w:r w:rsidRPr="004A3F74">
        <w:rPr>
          <w:rFonts w:ascii="Liberation Serif" w:hAnsi="Liberation Serif"/>
          <w:sz w:val="24"/>
          <w:szCs w:val="24"/>
        </w:rPr>
        <w:t xml:space="preserve"> </w:t>
      </w:r>
      <w:r w:rsidR="000E788D" w:rsidRPr="004A3F74">
        <w:rPr>
          <w:rFonts w:ascii="Liberation Serif" w:hAnsi="Liberation Serif"/>
          <w:sz w:val="24"/>
          <w:szCs w:val="24"/>
        </w:rPr>
        <w:t xml:space="preserve">«Об </w:t>
      </w:r>
      <w:r w:rsidRPr="004A3F74">
        <w:rPr>
          <w:rFonts w:ascii="Liberation Serif" w:hAnsi="Liberation Serif"/>
          <w:sz w:val="24"/>
          <w:szCs w:val="24"/>
        </w:rPr>
        <w:t>определени</w:t>
      </w:r>
      <w:r w:rsidR="000E788D" w:rsidRPr="004A3F74">
        <w:rPr>
          <w:rFonts w:ascii="Liberation Serif" w:hAnsi="Liberation Serif"/>
          <w:sz w:val="24"/>
          <w:szCs w:val="24"/>
        </w:rPr>
        <w:t>и</w:t>
      </w:r>
      <w:r w:rsidRPr="004A3F74">
        <w:rPr>
          <w:rFonts w:ascii="Liberation Serif" w:hAnsi="Liberation Serif"/>
          <w:sz w:val="24"/>
          <w:szCs w:val="24"/>
        </w:rPr>
        <w:t xml:space="preserve"> минимального объема (суммы) обеспечения исполнения обязательств принципала по удовлетворению регрессного требования гаранта к принципалу по муниципальной гарантии</w:t>
      </w:r>
      <w:r w:rsidR="00826B7F">
        <w:rPr>
          <w:rFonts w:ascii="Liberation Serif" w:hAnsi="Liberation Serif"/>
          <w:sz w:val="24"/>
          <w:szCs w:val="24"/>
        </w:rPr>
        <w:t xml:space="preserve"> Ирбитского муниципального образования в зависимости от степени удовлетворительности финансового состояния принципала».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7. Надежность банковской гарантии и поручительства определяется устойчивостью финансового состояния банка или иной кредитной организации (далее - банк-гарант) поручителя.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8. Финансовое состояние банка-гаранта признается устойчивым, и банковская гарантия признается надежной, если банк-гарант соответствует одновременно следующим требованиям: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а) наличия генеральной лицензии Центрального банка Российской Федерации на осуществление банковских операций;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б) участие кредитной организации в системе обязательного страхования вкладов физических лиц в банках Российской Федерации в соответствии с Федеральным </w:t>
      </w:r>
      <w:hyperlink r:id="rId17" w:history="1">
        <w:r w:rsidRPr="0067335D">
          <w:rPr>
            <w:rFonts w:ascii="Liberation Serif" w:hAnsi="Liberation Serif"/>
            <w:color w:val="000000" w:themeColor="text1"/>
            <w:sz w:val="24"/>
            <w:szCs w:val="24"/>
          </w:rPr>
          <w:t>законом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от 23 декабря 2003 года N 177-ФЗ "О страховании вкладов физических лиц в банках Российской Федерации";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в) наличие объема активов I, II категории в размере не менее 50 процентов от общего объема активов;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г) наличие у кредитной организации собственных средств (капитала) в размере не менее 1 млрд. рублей;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д) выполнение требования Центрального банка Российской Федерации по соблюдению обязательных нормативов (в том числе с учетом долговой нагрузки, принимаемой в связи с предоставлением банковской гарантии);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е) отсутствие убытков по итогам деятельности за последний отчетный год и последний отчетный период текущего года;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ж) наличие кредитного рейтинга не ниже уровня "A-(RU)"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не ниже уровня "ruA-" по </w:t>
      </w:r>
      <w:r w:rsidRPr="00876A48">
        <w:rPr>
          <w:rFonts w:ascii="Liberation Serif" w:hAnsi="Liberation Serif"/>
          <w:sz w:val="24"/>
          <w:szCs w:val="24"/>
        </w:rPr>
        <w:lastRenderedPageBreak/>
        <w:t>национальной рейтинговой шкале для Российской Федерации 3 кредитного рейтингового агентства Акционерное общество "Рейтинговое Агентство "Эксперт РА" либо наличие кредитного рейтинга не ниже уровня "BB-" по классификации рейтинговых агентств "Standard &amp; Poor's" или "Fitch Ratings" или не ниже уровня "ВаЗ" по классификации рейтингового агентства "Mody's".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9. Оценка финансового состояния поручителя осуществляется в соответствии с </w:t>
      </w:r>
      <w:hyperlink w:anchor="P36" w:history="1">
        <w:r w:rsidRPr="00B547AC">
          <w:rPr>
            <w:rFonts w:ascii="Liberation Serif" w:hAnsi="Liberation Serif"/>
            <w:sz w:val="24"/>
            <w:szCs w:val="24"/>
          </w:rPr>
          <w:t>Порядком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проведения анализа финансового состояния принципала при предоставлении, а также мониторинга финансового состояния принципала после предоставления муниципальной гарантии </w:t>
      </w:r>
      <w:r w:rsidR="000E05C5">
        <w:rPr>
          <w:rFonts w:ascii="Liberation Serif" w:hAnsi="Liberation Serif"/>
          <w:sz w:val="24"/>
          <w:szCs w:val="24"/>
        </w:rPr>
        <w:t>Ирбитского муниципального образования</w:t>
      </w:r>
      <w:r w:rsidRPr="00876A48">
        <w:rPr>
          <w:rFonts w:ascii="Liberation Serif" w:hAnsi="Liberation Serif"/>
          <w:sz w:val="24"/>
          <w:szCs w:val="24"/>
        </w:rPr>
        <w:t xml:space="preserve">, утвержденным муниципальным правовым актом администрации </w:t>
      </w:r>
      <w:r w:rsidR="000E05C5">
        <w:rPr>
          <w:rFonts w:ascii="Liberation Serif" w:hAnsi="Liberation Serif"/>
          <w:sz w:val="24"/>
          <w:szCs w:val="24"/>
        </w:rPr>
        <w:t>Ирбитского муниципального образования</w:t>
      </w:r>
      <w:r w:rsidRPr="00876A48">
        <w:rPr>
          <w:rFonts w:ascii="Liberation Serif" w:hAnsi="Liberation Serif"/>
          <w:sz w:val="24"/>
          <w:szCs w:val="24"/>
        </w:rPr>
        <w:t>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>10. Финансовое состояние поручителя признается устойчивым и поручительство признается надежным, если финансовое состояние поручителя имеет хорошую или удовлетворительную степень оценки, а также если при наличии кредитного рейтинга (кредитных рейтингов) поручитель имеет кредитный рейтинг по национальной рейтинговой шкале для Российской Федерации не ниже уровня "A-(RU)" кредитного рейтингового агентства Аналитическое Кредитное Рейтинговое Агентство (Акционерное общество) или не ниже уровня "ruA-" по национальной рейтинговой шкале для Российской Федерации кредитного рейтингового агентства Акционерное общество "Рейтинговое Агентство "Эксперт РА" либо наличие кредитного рейтинга не ниже уровня "BB-" по классификации рейтинговых агентств "Standard &amp; Poor's" или "Fitch Ratings" или не ниже уровня "ВаЗ" по классификации рейтингового агентства "Mody's".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11. Оценка имущества, предоставляемого (предоставленного) принципалом или третьим лицом в залог обеспечения обязательств принципала по удовлетворению регрессного требования гаранта к принципалу, и определение степени ликвидности данного имущества осуществляются в соответствии с </w:t>
      </w:r>
      <w:hyperlink r:id="rId18" w:history="1">
        <w:r w:rsidRPr="000E05C5">
          <w:rPr>
            <w:rFonts w:ascii="Liberation Serif" w:hAnsi="Liberation Serif"/>
            <w:color w:val="000000" w:themeColor="text1"/>
            <w:sz w:val="24"/>
            <w:szCs w:val="24"/>
          </w:rPr>
          <w:t>абзацем седьмым пункта 3 статьи 93.2</w:t>
        </w:r>
      </w:hyperlink>
      <w:r w:rsidRPr="00876A48">
        <w:rPr>
          <w:rFonts w:ascii="Liberation Serif" w:hAnsi="Liberation Serif"/>
          <w:sz w:val="24"/>
          <w:szCs w:val="24"/>
        </w:rPr>
        <w:t xml:space="preserve"> Бюджетного кодекса Российской Федерации отделом по управлению муниципальным имуществом администрации </w:t>
      </w:r>
      <w:r w:rsidR="000E05C5">
        <w:rPr>
          <w:rFonts w:ascii="Liberation Serif" w:hAnsi="Liberation Serif"/>
          <w:sz w:val="24"/>
          <w:szCs w:val="24"/>
        </w:rPr>
        <w:t>Ирбитского муниципального образования</w:t>
      </w:r>
      <w:r w:rsidRPr="00876A48">
        <w:rPr>
          <w:rFonts w:ascii="Liberation Serif" w:hAnsi="Liberation Serif"/>
          <w:sz w:val="24"/>
          <w:szCs w:val="24"/>
        </w:rPr>
        <w:t xml:space="preserve"> и по результатам проведенного анализа предоставляет заключение в Финансовое управление.</w:t>
      </w:r>
    </w:p>
    <w:p w:rsidR="00264CD3" w:rsidRPr="00876A48" w:rsidRDefault="00264CD3" w:rsidP="00264CD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876A48">
        <w:rPr>
          <w:rFonts w:ascii="Liberation Serif" w:hAnsi="Liberation Serif"/>
          <w:sz w:val="24"/>
          <w:szCs w:val="24"/>
        </w:rPr>
        <w:t xml:space="preserve">12. Финансовое управление после проведения проверки достаточности, надежности и ликвидности обеспечения предоставляет соответствующее заключение главе </w:t>
      </w:r>
      <w:r w:rsidR="000E05C5">
        <w:rPr>
          <w:rFonts w:ascii="Liberation Serif" w:hAnsi="Liberation Serif"/>
          <w:sz w:val="24"/>
          <w:szCs w:val="24"/>
        </w:rPr>
        <w:t>Ирбитского муниципального образования</w:t>
      </w:r>
      <w:r w:rsidRPr="00876A48">
        <w:rPr>
          <w:rFonts w:ascii="Liberation Serif" w:hAnsi="Liberation Serif"/>
          <w:sz w:val="24"/>
          <w:szCs w:val="24"/>
        </w:rPr>
        <w:t>.</w:t>
      </w:r>
    </w:p>
    <w:p w:rsidR="00264CD3" w:rsidRPr="00876A48" w:rsidRDefault="00264CD3" w:rsidP="00264CD3">
      <w:pPr>
        <w:pStyle w:val="ConsPlusNormal"/>
        <w:rPr>
          <w:rFonts w:ascii="Liberation Serif" w:hAnsi="Liberation Serif"/>
          <w:sz w:val="24"/>
          <w:szCs w:val="24"/>
        </w:rPr>
      </w:pPr>
    </w:p>
    <w:p w:rsidR="00DC3BCA" w:rsidRDefault="00DC3BCA" w:rsidP="00EC22AB">
      <w:pPr>
        <w:rPr>
          <w:b/>
          <w:spacing w:val="20"/>
          <w:sz w:val="28"/>
          <w:szCs w:val="28"/>
        </w:rPr>
      </w:pPr>
    </w:p>
    <w:p w:rsidR="00DC3BCA" w:rsidRDefault="00DC3BCA" w:rsidP="00DC3BCA">
      <w:pPr>
        <w:rPr>
          <w:spacing w:val="20"/>
          <w:sz w:val="28"/>
          <w:szCs w:val="28"/>
        </w:rPr>
      </w:pPr>
    </w:p>
    <w:p w:rsidR="00A45E93" w:rsidRDefault="00A45E93" w:rsidP="00DC3BCA">
      <w:pPr>
        <w:autoSpaceDE w:val="0"/>
        <w:autoSpaceDN w:val="0"/>
        <w:adjustRightInd w:val="0"/>
        <w:jc w:val="center"/>
        <w:rPr>
          <w:b/>
          <w:spacing w:val="60"/>
          <w:sz w:val="32"/>
          <w:szCs w:val="20"/>
        </w:rPr>
      </w:pPr>
    </w:p>
    <w:p w:rsidR="00A45E93" w:rsidRDefault="00A45E93" w:rsidP="00DC3BCA">
      <w:pPr>
        <w:autoSpaceDE w:val="0"/>
        <w:autoSpaceDN w:val="0"/>
        <w:adjustRightInd w:val="0"/>
        <w:jc w:val="center"/>
        <w:rPr>
          <w:b/>
          <w:spacing w:val="60"/>
          <w:sz w:val="32"/>
          <w:szCs w:val="20"/>
        </w:rPr>
      </w:pPr>
    </w:p>
    <w:p w:rsidR="000E05C5" w:rsidRDefault="000E05C5" w:rsidP="00DC3BCA">
      <w:pPr>
        <w:autoSpaceDE w:val="0"/>
        <w:autoSpaceDN w:val="0"/>
        <w:adjustRightInd w:val="0"/>
        <w:jc w:val="center"/>
        <w:rPr>
          <w:b/>
          <w:spacing w:val="60"/>
          <w:sz w:val="32"/>
          <w:szCs w:val="20"/>
        </w:rPr>
      </w:pPr>
    </w:p>
    <w:p w:rsidR="000E05C5" w:rsidRDefault="000E05C5" w:rsidP="00DC3BCA">
      <w:pPr>
        <w:autoSpaceDE w:val="0"/>
        <w:autoSpaceDN w:val="0"/>
        <w:adjustRightInd w:val="0"/>
        <w:jc w:val="center"/>
        <w:rPr>
          <w:b/>
          <w:spacing w:val="60"/>
          <w:sz w:val="32"/>
          <w:szCs w:val="20"/>
        </w:rPr>
      </w:pPr>
    </w:p>
    <w:p w:rsidR="000E05C5" w:rsidRDefault="000E05C5" w:rsidP="00DC3BCA">
      <w:pPr>
        <w:autoSpaceDE w:val="0"/>
        <w:autoSpaceDN w:val="0"/>
        <w:adjustRightInd w:val="0"/>
        <w:jc w:val="center"/>
        <w:rPr>
          <w:b/>
          <w:spacing w:val="60"/>
          <w:sz w:val="32"/>
          <w:szCs w:val="20"/>
        </w:rPr>
      </w:pPr>
    </w:p>
    <w:p w:rsidR="000E05C5" w:rsidRDefault="000E05C5" w:rsidP="00DC3BCA">
      <w:pPr>
        <w:autoSpaceDE w:val="0"/>
        <w:autoSpaceDN w:val="0"/>
        <w:adjustRightInd w:val="0"/>
        <w:jc w:val="center"/>
        <w:rPr>
          <w:b/>
          <w:spacing w:val="60"/>
          <w:sz w:val="32"/>
          <w:szCs w:val="20"/>
        </w:rPr>
      </w:pPr>
    </w:p>
    <w:sectPr w:rsidR="000E05C5" w:rsidSect="0067335D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A53B1"/>
    <w:multiLevelType w:val="hybridMultilevel"/>
    <w:tmpl w:val="06006838"/>
    <w:lvl w:ilvl="0" w:tplc="5450F45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CA"/>
    <w:rsid w:val="000622F8"/>
    <w:rsid w:val="00074C06"/>
    <w:rsid w:val="000C6C3C"/>
    <w:rsid w:val="000E05C5"/>
    <w:rsid w:val="000E788D"/>
    <w:rsid w:val="00174FB5"/>
    <w:rsid w:val="001F4FA5"/>
    <w:rsid w:val="00235D83"/>
    <w:rsid w:val="002462B9"/>
    <w:rsid w:val="00264CD3"/>
    <w:rsid w:val="00394224"/>
    <w:rsid w:val="00497D59"/>
    <w:rsid w:val="004A3F74"/>
    <w:rsid w:val="00561BCA"/>
    <w:rsid w:val="00572510"/>
    <w:rsid w:val="0058704C"/>
    <w:rsid w:val="00592859"/>
    <w:rsid w:val="005F2B5D"/>
    <w:rsid w:val="0067335D"/>
    <w:rsid w:val="006821C0"/>
    <w:rsid w:val="006C42B9"/>
    <w:rsid w:val="00707179"/>
    <w:rsid w:val="007B31B0"/>
    <w:rsid w:val="007D7BE7"/>
    <w:rsid w:val="00826B7F"/>
    <w:rsid w:val="00855FC0"/>
    <w:rsid w:val="008B7B81"/>
    <w:rsid w:val="009E003D"/>
    <w:rsid w:val="00A13FF1"/>
    <w:rsid w:val="00A45E93"/>
    <w:rsid w:val="00A474CB"/>
    <w:rsid w:val="00AB2B95"/>
    <w:rsid w:val="00B22D48"/>
    <w:rsid w:val="00B547AC"/>
    <w:rsid w:val="00B756FB"/>
    <w:rsid w:val="00C02DAC"/>
    <w:rsid w:val="00C23284"/>
    <w:rsid w:val="00CA55E5"/>
    <w:rsid w:val="00DB3D3B"/>
    <w:rsid w:val="00DC3BCA"/>
    <w:rsid w:val="00DE55F7"/>
    <w:rsid w:val="00EC22AB"/>
    <w:rsid w:val="00ED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C3BC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DC3BCA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3B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B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C3B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C3BC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DC3BCA"/>
    <w:pPr>
      <w:ind w:left="720"/>
      <w:contextualSpacing/>
    </w:pPr>
  </w:style>
  <w:style w:type="paragraph" w:customStyle="1" w:styleId="ConsPlusTitle">
    <w:name w:val="ConsPlusTitle"/>
    <w:rsid w:val="00264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 Spacing"/>
    <w:uiPriority w:val="1"/>
    <w:qFormat/>
    <w:rsid w:val="00ED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C3BC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DC3BCA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3B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B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C3B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C3BC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DC3BCA"/>
    <w:pPr>
      <w:ind w:left="720"/>
      <w:contextualSpacing/>
    </w:pPr>
  </w:style>
  <w:style w:type="paragraph" w:customStyle="1" w:styleId="ConsPlusTitle">
    <w:name w:val="ConsPlusTitle"/>
    <w:rsid w:val="00264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 Spacing"/>
    <w:uiPriority w:val="1"/>
    <w:qFormat/>
    <w:rsid w:val="00ED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372D045BF3DDB07FEBF3325E8E69905BAE38B3086E59026A03455CBB710A1A7C34F562C3E8961CB8338FE1F3962D9D370D0E8B8E04CE2CS5eDK" TargetMode="External"/><Relationship Id="rId13" Type="http://schemas.openxmlformats.org/officeDocument/2006/relationships/hyperlink" Target="consultantplus://offline/ref=D5372D045BF3DDB07FEBF3325E8E69905BAE38B3086E59026A03455CBB710A1A7C34F562C3E8961FBA338FE1F3962D9D370D0E8B8E04CE2CS5eDK" TargetMode="External"/><Relationship Id="rId18" Type="http://schemas.openxmlformats.org/officeDocument/2006/relationships/hyperlink" Target="consultantplus://offline/ref=D5372D045BF3DDB07FEBF3325E8E69905BA834B20A6959026A03455CBB710A1A7C34F566C3EC9512E8699FE5BAC223823417108D9004SCeE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5372D045BF3DDB07FEBF3325E8E69905BAE38B3086E59026A03455CBB710A1A7C34F562C3E8961EBF338FE1F3962D9D370D0E8B8E04CE2CS5eDK" TargetMode="External"/><Relationship Id="rId12" Type="http://schemas.openxmlformats.org/officeDocument/2006/relationships/hyperlink" Target="consultantplus://offline/ref=D5372D045BF3DDB07FEBF3325E8E69905BAE38B3086E59026A03455CBB710A1A7C34F562C3E8961DBA338FE1F3962D9D370D0E8B8E04CE2CS5eDK" TargetMode="External"/><Relationship Id="rId17" Type="http://schemas.openxmlformats.org/officeDocument/2006/relationships/hyperlink" Target="consultantplus://offline/ref=D5372D045BF3DDB07FEBF3325E8E69905BA83CBB056C59026A03455CBB710A1A6E34AD6EC2EB8819B826D9B0B5SCe3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5372D045BF3DDB07FEBF3325E8E69905BAE38B3086E59026A03455CBB710A1A7C34F562C3E8961DBA338FE1F3962D9D370D0E8B8E04CE2CS5eD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5372D045BF3DDB07FEBF3325E8E69905BAE38B3086E59026A03455CBB710A1A7C34F562C3E8961BBA338FE1F3962D9D370D0E8B8E04CE2CS5eDK" TargetMode="External"/><Relationship Id="rId11" Type="http://schemas.openxmlformats.org/officeDocument/2006/relationships/hyperlink" Target="consultantplus://offline/ref=D5372D045BF3DDB07FEBF3325E8E69905BAE38B3086E59026A03455CBB710A1A7C34F562C3E8961FBA338FE1F3962D9D370D0E8B8E04CE2CS5e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5372D045BF3DDB07FEBF3325E8E69905BAE38B3086E59026A03455CBB710A1A7C34F562C3E8961FBA338FE1F3962D9D370D0E8B8E04CE2CS5eDK" TargetMode="External"/><Relationship Id="rId10" Type="http://schemas.openxmlformats.org/officeDocument/2006/relationships/hyperlink" Target="consultantplus://offline/ref=D5372D045BF3DDB07FEBF3325E8E69905BAE38B3086E59026A03455CBB710A1A7C34F562C3E8961EBE338FE1F3962D9D370D0E8B8E04CE2CS5eD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372D045BF3DDB07FEBF3325E8E69905BAE38B3086E59026A03455CBB710A1A7C34F562C3E8961FBA338FE1F3962D9D370D0E8B8E04CE2CS5eDK" TargetMode="External"/><Relationship Id="rId14" Type="http://schemas.openxmlformats.org/officeDocument/2006/relationships/hyperlink" Target="consultantplus://offline/ref=D5372D045BF3DDB07FEBF3325E8E69905BAE38B3086E59026A03455CBB710A1A7C34F562C3E8961DBA338FE1F3962D9D370D0E8B8E04CE2CS5e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3049</Words>
  <Characters>17381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Яна Неймышева</cp:lastModifiedBy>
  <cp:revision>14</cp:revision>
  <dcterms:created xsi:type="dcterms:W3CDTF">2020-04-20T05:12:00Z</dcterms:created>
  <dcterms:modified xsi:type="dcterms:W3CDTF">2020-04-23T02:46:00Z</dcterms:modified>
</cp:coreProperties>
</file>