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</w:t>
      </w:r>
      <w:r w:rsidR="00481B3F">
        <w:rPr>
          <w:sz w:val="20"/>
          <w:szCs w:val="20"/>
        </w:rPr>
        <w:t>3850</w:t>
      </w:r>
      <w:r w:rsidR="00136C37" w:rsidRPr="00987804">
        <w:rPr>
          <w:sz w:val="20"/>
          <w:szCs w:val="20"/>
        </w:rPr>
        <w:t xml:space="preserve">, г. </w:t>
      </w:r>
      <w:r w:rsidR="00481B3F">
        <w:rPr>
          <w:sz w:val="20"/>
          <w:szCs w:val="20"/>
        </w:rPr>
        <w:t>Ирбит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481B3F">
        <w:rPr>
          <w:sz w:val="20"/>
          <w:szCs w:val="20"/>
        </w:rPr>
        <w:t>Карла Маркса</w:t>
      </w:r>
      <w:r>
        <w:rPr>
          <w:sz w:val="20"/>
          <w:szCs w:val="20"/>
        </w:rPr>
        <w:t>, д.</w:t>
      </w:r>
      <w:r w:rsidR="00481B3F">
        <w:rPr>
          <w:sz w:val="20"/>
          <w:szCs w:val="20"/>
        </w:rPr>
        <w:t>3</w:t>
      </w:r>
      <w:r w:rsidR="007C54B8">
        <w:rPr>
          <w:sz w:val="20"/>
          <w:szCs w:val="20"/>
        </w:rPr>
        <w:t>7,</w:t>
      </w:r>
      <w:r>
        <w:rPr>
          <w:sz w:val="20"/>
          <w:szCs w:val="20"/>
        </w:rPr>
        <w:t xml:space="preserve"> </w:t>
      </w:r>
    </w:p>
    <w:p w:rsidR="00333321" w:rsidRDefault="00136C37" w:rsidP="00266B66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481B3F">
        <w:rPr>
          <w:sz w:val="20"/>
          <w:szCs w:val="20"/>
        </w:rPr>
        <w:t>55 6-37-54</w:t>
      </w:r>
    </w:p>
    <w:p w:rsidR="008834CA" w:rsidRDefault="008834CA" w:rsidP="00157D7B">
      <w:pPr>
        <w:pStyle w:val="a8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9C45D2" w:rsidRPr="0034417D" w:rsidRDefault="009C45D2" w:rsidP="00157D7B">
      <w:pPr>
        <w:pStyle w:val="a8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481B3F" w:rsidRDefault="00481B3F" w:rsidP="0091191E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Управление </w:t>
      </w:r>
      <w:r w:rsidR="0091191E">
        <w:rPr>
          <w:b/>
          <w:color w:val="000000"/>
        </w:rPr>
        <w:t xml:space="preserve">Пенсионного фонда </w:t>
      </w:r>
      <w:r>
        <w:rPr>
          <w:b/>
          <w:color w:val="000000"/>
        </w:rPr>
        <w:t xml:space="preserve">в городе Ирбите и Ирбитском районе </w:t>
      </w:r>
      <w:r w:rsidR="0091191E" w:rsidRPr="00EE44BB">
        <w:rPr>
          <w:b/>
          <w:color w:val="000000"/>
        </w:rPr>
        <w:t xml:space="preserve">Свердловской области </w:t>
      </w:r>
      <w:r w:rsidR="0091191E">
        <w:rPr>
          <w:b/>
          <w:color w:val="000000"/>
        </w:rPr>
        <w:t xml:space="preserve">разъясняет: </w:t>
      </w:r>
    </w:p>
    <w:p w:rsidR="0091191E" w:rsidRPr="00EE44BB" w:rsidRDefault="0091191E" w:rsidP="0091191E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виды пенсий и социальных выплат по случаю инвалидности</w:t>
      </w:r>
    </w:p>
    <w:p w:rsidR="0091191E" w:rsidRPr="00EE44BB" w:rsidRDefault="0091191E" w:rsidP="0091191E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91191E" w:rsidRPr="00C64777" w:rsidRDefault="0091191E" w:rsidP="0091191E">
      <w:pPr>
        <w:ind w:firstLine="708"/>
        <w:jc w:val="both"/>
      </w:pPr>
      <w:r w:rsidRPr="00EE44BB">
        <w:t xml:space="preserve">Значительная часть мер государственной поддержки инвалидов в России осуществляется </w:t>
      </w:r>
      <w:r w:rsidRPr="00C64777">
        <w:t>Пенсионным фондом Российской Федерации</w:t>
      </w:r>
      <w:r>
        <w:t xml:space="preserve"> (далее ПФР)</w:t>
      </w:r>
      <w:r w:rsidRPr="00C64777">
        <w:t xml:space="preserve">, представляющим несколько видов пенсии по случаю инвалидности, а также несколько видов социальных выплат. </w:t>
      </w:r>
      <w:r w:rsidR="00481B3F">
        <w:t xml:space="preserve">Управление </w:t>
      </w:r>
      <w:r w:rsidRPr="00C64777">
        <w:t xml:space="preserve">Пенсионного фонда Российской Федерации </w:t>
      </w:r>
      <w:r w:rsidR="00481B3F">
        <w:t>в городе Ирбите и Ирбитском районе</w:t>
      </w:r>
      <w:r w:rsidRPr="00C64777">
        <w:t xml:space="preserve"> Свердловской области дает разъяснения о пенсионном обеспечении инвалидов. </w:t>
      </w:r>
      <w:r w:rsidRPr="00C64777">
        <w:tab/>
      </w:r>
    </w:p>
    <w:p w:rsidR="0091191E" w:rsidRPr="00C64777" w:rsidRDefault="0091191E" w:rsidP="0091191E">
      <w:pPr>
        <w:ind w:firstLine="708"/>
        <w:jc w:val="both"/>
      </w:pPr>
      <w:r w:rsidRPr="00C64777">
        <w:t>Пенсия по инвалидности и ежемесячная денежная выплата (</w:t>
      </w:r>
      <w:r>
        <w:t xml:space="preserve">далее </w:t>
      </w:r>
      <w:r w:rsidRPr="00C64777">
        <w:t xml:space="preserve">ЕДВ) назначаются после того, как федеральный орган медико-социальной экспертизы (МСЭ) признает гражданина инвалидом 1,2 или 3 группы. </w:t>
      </w:r>
    </w:p>
    <w:p w:rsidR="0091191E" w:rsidRPr="00C64777" w:rsidRDefault="0091191E" w:rsidP="0091191E">
      <w:pPr>
        <w:ind w:firstLine="708"/>
        <w:jc w:val="both"/>
      </w:pPr>
      <w:r w:rsidRPr="00C64777">
        <w:t xml:space="preserve">За назначением пенсии и </w:t>
      </w:r>
      <w:r>
        <w:t>ЕДВ</w:t>
      </w:r>
      <w:r w:rsidRPr="00C64777">
        <w:t xml:space="preserve"> инвалид обращается в территориальный орган ПФР по месту жительства, или направляет заявление через Личный кабинет гражданина на сайте ПФР </w:t>
      </w:r>
      <w:r w:rsidRPr="00C64777">
        <w:rPr>
          <w:lang w:val="en-US"/>
        </w:rPr>
        <w:t>pfrf</w:t>
      </w:r>
      <w:r w:rsidRPr="00C64777">
        <w:t>.</w:t>
      </w:r>
      <w:r w:rsidRPr="00C64777">
        <w:rPr>
          <w:lang w:val="en-US"/>
        </w:rPr>
        <w:t>ru</w:t>
      </w:r>
      <w:r w:rsidRPr="00C64777">
        <w:t>, пройдя процедуру регистрации на портале государственных услуг. Для назначения пенсии по инвалидности гражданин должен представить в орган ПФР соответствующее заявление. При себе необходимо иметь паспорт, свидетельство обязательного пенсионного страхования и, если есть стаж работы, – трудовую книжку. Если по состоянию здоровья инвалид не может обратиться лично, то заявление и документы могут быть направлены по почте или поданы через представителя.</w:t>
      </w:r>
    </w:p>
    <w:p w:rsidR="0091191E" w:rsidRPr="00C64777" w:rsidRDefault="0091191E" w:rsidP="0091191E">
      <w:pPr>
        <w:ind w:firstLine="708"/>
        <w:jc w:val="both"/>
      </w:pPr>
      <w:r>
        <w:t xml:space="preserve">Самой распространенной </w:t>
      </w:r>
      <w:r w:rsidRPr="00C64777">
        <w:t>является страховая пенсия по инвалидности. В</w:t>
      </w:r>
      <w:r w:rsidR="00481B3F">
        <w:t xml:space="preserve"> Ирбите и Ирбитском районе</w:t>
      </w:r>
      <w:r w:rsidRPr="00C64777">
        <w:t xml:space="preserve"> Свердловской облас</w:t>
      </w:r>
      <w:r>
        <w:t>ти ее получают</w:t>
      </w:r>
      <w:r w:rsidR="00DE6354">
        <w:t xml:space="preserve"> 907 </w:t>
      </w:r>
      <w:r>
        <w:t>человек. Н</w:t>
      </w:r>
      <w:r w:rsidRPr="00C64777">
        <w:t>азначается любому гражданину, признанному инвалидом, если у него есть хотя бы один день страхового стажа.</w:t>
      </w:r>
    </w:p>
    <w:p w:rsidR="0091191E" w:rsidRPr="00C64777" w:rsidRDefault="0091191E" w:rsidP="0091191E">
      <w:pPr>
        <w:ind w:firstLine="708"/>
        <w:jc w:val="both"/>
      </w:pPr>
      <w:r w:rsidRPr="00C64777">
        <w:t xml:space="preserve">Если же человек с инвалидностью никогда не работал и не имеет страхового стажа, ему выплачивается государственная социальная пенсия по инвалидности. Среди </w:t>
      </w:r>
      <w:r w:rsidR="00EC440B">
        <w:t>ирбитчан</w:t>
      </w:r>
      <w:r w:rsidRPr="00C64777">
        <w:t xml:space="preserve"> ее получа</w:t>
      </w:r>
      <w:r w:rsidR="00EC440B">
        <w:t>ю</w:t>
      </w:r>
      <w:r w:rsidRPr="00C64777">
        <w:t xml:space="preserve">т </w:t>
      </w:r>
      <w:r w:rsidR="00DE6354">
        <w:t>1997</w:t>
      </w:r>
      <w:r w:rsidRPr="00C64777">
        <w:t xml:space="preserve"> человек.</w:t>
      </w:r>
    </w:p>
    <w:p w:rsidR="0091191E" w:rsidRPr="00C64777" w:rsidRDefault="0091191E" w:rsidP="0091191E">
      <w:pPr>
        <w:ind w:firstLine="708"/>
        <w:jc w:val="both"/>
      </w:pPr>
      <w:r w:rsidRPr="00C64777">
        <w:t>Получатели страховой либо социальной пенсии по инвалидности при наличии необходимых оснований могут перейти на получение страховой либо социальной пенсии по старости, которые будут назначены в равном или более высоком размере.</w:t>
      </w:r>
    </w:p>
    <w:p w:rsidR="0091191E" w:rsidRPr="00C64777" w:rsidRDefault="0091191E" w:rsidP="0091191E">
      <w:pPr>
        <w:ind w:firstLine="708"/>
        <w:jc w:val="both"/>
      </w:pPr>
      <w:r w:rsidRPr="00C64777">
        <w:t xml:space="preserve">Также существует государственная пенсия по инвалидности. Она назначается гражданам, ставшим инвалидами в результате военной службы, подготовки или выполнения космических полетов, вследствие радиационных или техногенных катастроф. В </w:t>
      </w:r>
      <w:r w:rsidR="00481B3F">
        <w:t xml:space="preserve">Ирбите и Ирбитском </w:t>
      </w:r>
      <w:r w:rsidR="00481B3F" w:rsidRPr="00EC440B">
        <w:t>районе</w:t>
      </w:r>
      <w:r w:rsidRPr="00EC440B">
        <w:t xml:space="preserve"> </w:t>
      </w:r>
      <w:r w:rsidR="00EC440B">
        <w:t>38</w:t>
      </w:r>
      <w:r w:rsidRPr="00EC440B">
        <w:t xml:space="preserve"> человек</w:t>
      </w:r>
      <w:r w:rsidRPr="00C64777">
        <w:t xml:space="preserve"> получателей данного вида пенсии. </w:t>
      </w:r>
    </w:p>
    <w:p w:rsidR="0091191E" w:rsidRPr="00C64777" w:rsidRDefault="0091191E" w:rsidP="0091191E">
      <w:pPr>
        <w:ind w:firstLine="708"/>
        <w:jc w:val="both"/>
      </w:pPr>
      <w:r w:rsidRPr="00C64777">
        <w:t xml:space="preserve">Стоит отметить, что некоторые инвалиды имеют право на получение одновременно двух пенсий: страховой по старости и государственной пенсии по инвалидности. К таким получателям относятся инвалиды вследствие военной травмы и инвалиды Великой Отечественной войны. Сегодня это </w:t>
      </w:r>
      <w:r w:rsidR="00EC440B" w:rsidRPr="00EC440B">
        <w:t>73</w:t>
      </w:r>
      <w:r w:rsidRPr="00C64777">
        <w:t xml:space="preserve">  человек</w:t>
      </w:r>
      <w:r w:rsidR="00EC440B">
        <w:t>а</w:t>
      </w:r>
      <w:r w:rsidRPr="00C64777">
        <w:t xml:space="preserve">. </w:t>
      </w:r>
    </w:p>
    <w:p w:rsidR="0091191E" w:rsidRPr="00C64777" w:rsidRDefault="0091191E" w:rsidP="0091191E">
      <w:pPr>
        <w:ind w:firstLine="708"/>
        <w:jc w:val="both"/>
      </w:pPr>
      <w:r w:rsidRPr="00C64777">
        <w:t>Всем инвалидам, которые получают пенсии Пенсионного фонда РФ и при этом не работают, гарантируются выплаты не ниже установленного прожиточного минимума пенсионера в регионе его проживания.</w:t>
      </w:r>
    </w:p>
    <w:p w:rsidR="0091191E" w:rsidRPr="00C64777" w:rsidRDefault="0091191E" w:rsidP="0091191E">
      <w:pPr>
        <w:ind w:firstLine="708"/>
        <w:jc w:val="both"/>
      </w:pPr>
      <w:r w:rsidRPr="00C64777">
        <w:t>Главным видом социальной поддержки инвалидов и одновременно одной из самых массовых выплат Пенсионного фонда</w:t>
      </w:r>
      <w:r>
        <w:t xml:space="preserve"> РФ</w:t>
      </w:r>
      <w:r w:rsidRPr="00C64777">
        <w:t xml:space="preserve"> является ежемесячная денежная выплата (ЕДВ). Наряду с инвалидами она выплачивается и другим гражданам, </w:t>
      </w:r>
      <w:r w:rsidRPr="00C64777">
        <w:lastRenderedPageBreak/>
        <w:t xml:space="preserve">пользующимся федеральными льготами. В </w:t>
      </w:r>
      <w:r w:rsidR="00481B3F">
        <w:t>Ирбите и Ирбитском районе</w:t>
      </w:r>
      <w:r w:rsidRPr="00C64777">
        <w:t xml:space="preserve"> на сегодняшний день получателями </w:t>
      </w:r>
      <w:r>
        <w:t>ЕДВ</w:t>
      </w:r>
      <w:r w:rsidRPr="00C64777">
        <w:t xml:space="preserve"> являются </w:t>
      </w:r>
      <w:r w:rsidR="007F7126">
        <w:t xml:space="preserve">более </w:t>
      </w:r>
      <w:r w:rsidR="00EC440B">
        <w:t>6</w:t>
      </w:r>
      <w:r w:rsidR="007F7126">
        <w:t xml:space="preserve"> тыс.</w:t>
      </w:r>
      <w:r w:rsidRPr="00C64777">
        <w:t xml:space="preserve">человек.  </w:t>
      </w:r>
    </w:p>
    <w:p w:rsidR="0091191E" w:rsidRPr="00C64777" w:rsidRDefault="0091191E" w:rsidP="0091191E">
      <w:pPr>
        <w:ind w:firstLine="708"/>
        <w:jc w:val="both"/>
      </w:pPr>
      <w:r w:rsidRPr="00C64777">
        <w:t>Одновременно с установлением ЕДВ граждане приобретают право</w:t>
      </w:r>
      <w:r w:rsidR="00481B3F">
        <w:t xml:space="preserve"> на</w:t>
      </w:r>
      <w:r w:rsidRPr="00C64777">
        <w:t xml:space="preserve"> набор социальных услуг, который состоит из трех составляющих: обеспечение лекарственными препаратами, предоставление путевки на санаторно-курортное лечение, оплату проезда на пригородном железнодорожном транспорте и на междугородном транспорте к месту лечения и обратно. Любую из указанных частей набора социальных услуг федеральный льготник  может получать в натуральном виде либо в денежном выражении, подав соответствующее заявление в территориальное управление Пенсионного фонда России до 1 октября текущего года. Данное заявление будет действовать до тех пор, пока гражданин не изменит своего решения и не подаст заявление о предоставлении льготы в натуральном виде, либо в денежном выражении.</w:t>
      </w:r>
    </w:p>
    <w:p w:rsidR="0091191E" w:rsidRPr="00C64777" w:rsidRDefault="0091191E" w:rsidP="0091191E">
      <w:pPr>
        <w:ind w:firstLine="708"/>
        <w:jc w:val="both"/>
      </w:pPr>
      <w:r w:rsidRPr="00C64777">
        <w:t>Напоминаем, что с 2016 года еще одним важным видом социальной поддержки ПФР инвалидов стала возможность направления средств материнского капитала на социальную адаптацию и интеграцию в общество детей-инвалидов. Так, с 1 января 2016 года материнский капитал можно направлять на компенсацию расходов на приобретение допущенных к обращению на территории РФ товаров и услуг, которые предназначены для социальной адаптации и интеграции в общество детей-инвалидов, в соответствии с индивидуальной программой реабилитации, которая формируется органом МСЭ.</w:t>
      </w:r>
    </w:p>
    <w:p w:rsidR="0091191E" w:rsidRPr="00EE44BB" w:rsidRDefault="0091191E" w:rsidP="0091191E">
      <w:pPr>
        <w:ind w:firstLine="708"/>
        <w:jc w:val="both"/>
      </w:pPr>
      <w:r w:rsidRPr="00C64777">
        <w:t xml:space="preserve">Более подробную информацию о пенсиях и социальных выплатах инвалидам можно получить по телефону горячей линии </w:t>
      </w:r>
      <w:r w:rsidR="00481B3F">
        <w:t xml:space="preserve">6-48-75. </w:t>
      </w:r>
      <w:r w:rsidRPr="00EE44BB">
        <w:t xml:space="preserve">Телефоны и адрес </w:t>
      </w:r>
      <w:r>
        <w:t>У</w:t>
      </w:r>
      <w:r w:rsidRPr="00EE44BB">
        <w:t xml:space="preserve">ПФР можно найти с помощью поискового сервиса на сайте в разделе </w:t>
      </w:r>
      <w:hyperlink r:id="rId7" w:history="1">
        <w:r w:rsidRPr="00EE44BB">
          <w:rPr>
            <w:rStyle w:val="ac"/>
          </w:rPr>
          <w:t>«Контакты и адреса» / «Отделение»</w:t>
        </w:r>
      </w:hyperlink>
      <w:r w:rsidRPr="00EE44BB">
        <w:t>.</w:t>
      </w:r>
    </w:p>
    <w:p w:rsidR="00687C2B" w:rsidRPr="00687C2B" w:rsidRDefault="00687C2B" w:rsidP="0091191E">
      <w:pPr>
        <w:pStyle w:val="a8"/>
        <w:spacing w:before="0" w:beforeAutospacing="0" w:after="0" w:afterAutospacing="0"/>
        <w:ind w:firstLine="708"/>
        <w:jc w:val="center"/>
      </w:pPr>
    </w:p>
    <w:sectPr w:rsidR="00687C2B" w:rsidRPr="00687C2B" w:rsidSect="00453011">
      <w:headerReference w:type="default" r:id="rId8"/>
      <w:footerReference w:type="even" r:id="rId9"/>
      <w:footerReference w:type="default" r:id="rId10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AD" w:rsidRDefault="005D50AD">
      <w:r>
        <w:separator/>
      </w:r>
    </w:p>
  </w:endnote>
  <w:endnote w:type="continuationSeparator" w:id="0">
    <w:p w:rsidR="005D50AD" w:rsidRDefault="005D5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0B" w:rsidRDefault="00EC440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440B" w:rsidRDefault="00EC440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0B" w:rsidRDefault="00EC440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7126">
      <w:rPr>
        <w:rStyle w:val="a5"/>
        <w:noProof/>
      </w:rPr>
      <w:t>2</w:t>
    </w:r>
    <w:r>
      <w:rPr>
        <w:rStyle w:val="a5"/>
      </w:rPr>
      <w:fldChar w:fldCharType="end"/>
    </w:r>
  </w:p>
  <w:p w:rsidR="00EC440B" w:rsidRDefault="00EC440B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EC440B" w:rsidRPr="0078038D" w:rsidRDefault="00EC440B">
    <w:pPr>
      <w:pStyle w:val="a4"/>
      <w:jc w:val="center"/>
      <w:rPr>
        <w:rFonts w:ascii="Arial" w:hAnsi="Arial"/>
        <w:b/>
        <w:lang w:val="en-GB"/>
      </w:rPr>
    </w:pPr>
    <w:r>
      <w:rPr>
        <w:rFonts w:ascii="Arial" w:hAnsi="Arial"/>
        <w:b/>
      </w:rPr>
      <w:t>Контактный тел. (343)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257-74-02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AD" w:rsidRDefault="005D50AD">
      <w:r>
        <w:separator/>
      </w:r>
    </w:p>
  </w:footnote>
  <w:footnote w:type="continuationSeparator" w:id="0">
    <w:p w:rsidR="005D50AD" w:rsidRDefault="005D5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0B" w:rsidRDefault="00EC440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EC440B" w:rsidRPr="00A7011F" w:rsidRDefault="00EC440B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EC440B" w:rsidRDefault="00EC440B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Пенсионного фонда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Ирбите и Ирбитском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EC440B" w:rsidRDefault="00EC440B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EC440B" w:rsidRDefault="00EC440B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EC440B" w:rsidRPr="00FF2524" w:rsidRDefault="00EC440B" w:rsidP="00FF2524"/>
              <w:p w:rsidR="00EC440B" w:rsidRPr="00FF2524" w:rsidRDefault="00EC440B" w:rsidP="00FF2524"/>
              <w:p w:rsidR="00EC440B" w:rsidRPr="005969CF" w:rsidRDefault="00EC440B" w:rsidP="005969CF">
                <w:r>
                  <w:t xml:space="preserve"> </w:t>
                </w:r>
              </w:p>
              <w:p w:rsidR="00EC440B" w:rsidRDefault="00EC440B" w:rsidP="005969CF"/>
              <w:p w:rsidR="00EC440B" w:rsidRPr="005969CF" w:rsidRDefault="00EC440B" w:rsidP="005969CF"/>
              <w:p w:rsidR="00EC440B" w:rsidRPr="00A7011F" w:rsidRDefault="00EC440B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7F7126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7C470EA"/>
    <w:multiLevelType w:val="hybridMultilevel"/>
    <w:tmpl w:val="1EF4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71598C"/>
    <w:multiLevelType w:val="multilevel"/>
    <w:tmpl w:val="311C7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2811CC"/>
    <w:multiLevelType w:val="hybridMultilevel"/>
    <w:tmpl w:val="D8CE0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16"/>
  </w:num>
  <w:num w:numId="13">
    <w:abstractNumId w:val="8"/>
  </w:num>
  <w:num w:numId="14">
    <w:abstractNumId w:val="12"/>
  </w:num>
  <w:num w:numId="15">
    <w:abstractNumId w:val="14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2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1E75"/>
    <w:rsid w:val="000425B1"/>
    <w:rsid w:val="0005015F"/>
    <w:rsid w:val="00053536"/>
    <w:rsid w:val="00055DE4"/>
    <w:rsid w:val="00060F23"/>
    <w:rsid w:val="000657A2"/>
    <w:rsid w:val="000767F0"/>
    <w:rsid w:val="00082BC3"/>
    <w:rsid w:val="00085072"/>
    <w:rsid w:val="0009234F"/>
    <w:rsid w:val="000A05F9"/>
    <w:rsid w:val="000A6438"/>
    <w:rsid w:val="000B3C91"/>
    <w:rsid w:val="000C0E58"/>
    <w:rsid w:val="000C2E81"/>
    <w:rsid w:val="000C70AB"/>
    <w:rsid w:val="000D11E5"/>
    <w:rsid w:val="000D1DD0"/>
    <w:rsid w:val="000D4635"/>
    <w:rsid w:val="000D6F46"/>
    <w:rsid w:val="000E395A"/>
    <w:rsid w:val="000E77B7"/>
    <w:rsid w:val="000F3CFA"/>
    <w:rsid w:val="000F4036"/>
    <w:rsid w:val="000F68AF"/>
    <w:rsid w:val="00106BF0"/>
    <w:rsid w:val="0011157C"/>
    <w:rsid w:val="00114C86"/>
    <w:rsid w:val="00117943"/>
    <w:rsid w:val="00122024"/>
    <w:rsid w:val="001228C0"/>
    <w:rsid w:val="0012579C"/>
    <w:rsid w:val="001264DE"/>
    <w:rsid w:val="001275D5"/>
    <w:rsid w:val="001300BF"/>
    <w:rsid w:val="00134319"/>
    <w:rsid w:val="0013580F"/>
    <w:rsid w:val="001365C3"/>
    <w:rsid w:val="00136C37"/>
    <w:rsid w:val="001408FE"/>
    <w:rsid w:val="0014617E"/>
    <w:rsid w:val="00146D0A"/>
    <w:rsid w:val="001563D0"/>
    <w:rsid w:val="00157D7B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7D01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46A"/>
    <w:rsid w:val="002541DE"/>
    <w:rsid w:val="002623B6"/>
    <w:rsid w:val="0026324A"/>
    <w:rsid w:val="00266B66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179C"/>
    <w:rsid w:val="002E29AA"/>
    <w:rsid w:val="002E5603"/>
    <w:rsid w:val="00311650"/>
    <w:rsid w:val="0032689E"/>
    <w:rsid w:val="00333321"/>
    <w:rsid w:val="0033388A"/>
    <w:rsid w:val="00335569"/>
    <w:rsid w:val="0034308F"/>
    <w:rsid w:val="0034417D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517C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8F3"/>
    <w:rsid w:val="00462B3B"/>
    <w:rsid w:val="004733BA"/>
    <w:rsid w:val="0047346B"/>
    <w:rsid w:val="0048175E"/>
    <w:rsid w:val="00481B3F"/>
    <w:rsid w:val="004839D1"/>
    <w:rsid w:val="004874D6"/>
    <w:rsid w:val="004879D5"/>
    <w:rsid w:val="004912E4"/>
    <w:rsid w:val="00493A4A"/>
    <w:rsid w:val="004976C2"/>
    <w:rsid w:val="004B2070"/>
    <w:rsid w:val="004C5C88"/>
    <w:rsid w:val="004D2CE9"/>
    <w:rsid w:val="004D2F7D"/>
    <w:rsid w:val="004E045D"/>
    <w:rsid w:val="004E1D8C"/>
    <w:rsid w:val="004E4669"/>
    <w:rsid w:val="004F3D03"/>
    <w:rsid w:val="0050034E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9459C"/>
    <w:rsid w:val="005969CF"/>
    <w:rsid w:val="00597522"/>
    <w:rsid w:val="005A0351"/>
    <w:rsid w:val="005A0678"/>
    <w:rsid w:val="005A0BB4"/>
    <w:rsid w:val="005A2EC8"/>
    <w:rsid w:val="005A4B02"/>
    <w:rsid w:val="005A64AE"/>
    <w:rsid w:val="005B0807"/>
    <w:rsid w:val="005B1C92"/>
    <w:rsid w:val="005B32F2"/>
    <w:rsid w:val="005B66C0"/>
    <w:rsid w:val="005C1276"/>
    <w:rsid w:val="005C1339"/>
    <w:rsid w:val="005C4783"/>
    <w:rsid w:val="005D50AD"/>
    <w:rsid w:val="005D6CD0"/>
    <w:rsid w:val="005E2D67"/>
    <w:rsid w:val="005E7EF7"/>
    <w:rsid w:val="005F7815"/>
    <w:rsid w:val="00602FE8"/>
    <w:rsid w:val="006179D9"/>
    <w:rsid w:val="00623A14"/>
    <w:rsid w:val="006305FA"/>
    <w:rsid w:val="00640B43"/>
    <w:rsid w:val="00643E63"/>
    <w:rsid w:val="00644463"/>
    <w:rsid w:val="00645AD6"/>
    <w:rsid w:val="00657305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75478"/>
    <w:rsid w:val="00681D81"/>
    <w:rsid w:val="00687C2B"/>
    <w:rsid w:val="00696CA3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6D31"/>
    <w:rsid w:val="00777565"/>
    <w:rsid w:val="0078038D"/>
    <w:rsid w:val="00790EB6"/>
    <w:rsid w:val="007925E1"/>
    <w:rsid w:val="00796A4A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7F7126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53412"/>
    <w:rsid w:val="008546AC"/>
    <w:rsid w:val="00854DB4"/>
    <w:rsid w:val="008703B3"/>
    <w:rsid w:val="008824F8"/>
    <w:rsid w:val="008834CA"/>
    <w:rsid w:val="00886891"/>
    <w:rsid w:val="008B0F07"/>
    <w:rsid w:val="008B4FAA"/>
    <w:rsid w:val="008B538B"/>
    <w:rsid w:val="008D1E19"/>
    <w:rsid w:val="008D2076"/>
    <w:rsid w:val="008D2786"/>
    <w:rsid w:val="008D2F53"/>
    <w:rsid w:val="008F0796"/>
    <w:rsid w:val="00907E22"/>
    <w:rsid w:val="0091191E"/>
    <w:rsid w:val="00911E17"/>
    <w:rsid w:val="00917078"/>
    <w:rsid w:val="00921174"/>
    <w:rsid w:val="009243F0"/>
    <w:rsid w:val="00932C2D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590"/>
    <w:rsid w:val="00992B61"/>
    <w:rsid w:val="00996DC8"/>
    <w:rsid w:val="009A0E6C"/>
    <w:rsid w:val="009A6ACC"/>
    <w:rsid w:val="009C45D2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1E7D"/>
    <w:rsid w:val="00A43CF7"/>
    <w:rsid w:val="00A52FC6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18EB"/>
    <w:rsid w:val="00AA2447"/>
    <w:rsid w:val="00AB72CA"/>
    <w:rsid w:val="00AC0309"/>
    <w:rsid w:val="00AC46B4"/>
    <w:rsid w:val="00AC5FCF"/>
    <w:rsid w:val="00AD2565"/>
    <w:rsid w:val="00AD267F"/>
    <w:rsid w:val="00AE4604"/>
    <w:rsid w:val="00AF607E"/>
    <w:rsid w:val="00AF6920"/>
    <w:rsid w:val="00B05F22"/>
    <w:rsid w:val="00B16073"/>
    <w:rsid w:val="00B16F11"/>
    <w:rsid w:val="00B20925"/>
    <w:rsid w:val="00B31C81"/>
    <w:rsid w:val="00B34E82"/>
    <w:rsid w:val="00B404B8"/>
    <w:rsid w:val="00B41C4F"/>
    <w:rsid w:val="00B43CE7"/>
    <w:rsid w:val="00B4711F"/>
    <w:rsid w:val="00B51247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26EE"/>
    <w:rsid w:val="00B96BE6"/>
    <w:rsid w:val="00BA124D"/>
    <w:rsid w:val="00BA14C9"/>
    <w:rsid w:val="00BA5A90"/>
    <w:rsid w:val="00BB3264"/>
    <w:rsid w:val="00BB785A"/>
    <w:rsid w:val="00BC194F"/>
    <w:rsid w:val="00BC30C6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F0E"/>
    <w:rsid w:val="00C86696"/>
    <w:rsid w:val="00C94184"/>
    <w:rsid w:val="00C96162"/>
    <w:rsid w:val="00C9710E"/>
    <w:rsid w:val="00C97614"/>
    <w:rsid w:val="00CA5933"/>
    <w:rsid w:val="00CA74C8"/>
    <w:rsid w:val="00CB4CDB"/>
    <w:rsid w:val="00CC7ADD"/>
    <w:rsid w:val="00CE1616"/>
    <w:rsid w:val="00CF3B6F"/>
    <w:rsid w:val="00CF4418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941C1"/>
    <w:rsid w:val="00DA29E4"/>
    <w:rsid w:val="00DA40BB"/>
    <w:rsid w:val="00DB1826"/>
    <w:rsid w:val="00DC17AA"/>
    <w:rsid w:val="00DD286F"/>
    <w:rsid w:val="00DD392C"/>
    <w:rsid w:val="00DD5699"/>
    <w:rsid w:val="00DD7560"/>
    <w:rsid w:val="00DE2297"/>
    <w:rsid w:val="00DE3535"/>
    <w:rsid w:val="00DE6354"/>
    <w:rsid w:val="00DF076E"/>
    <w:rsid w:val="00DF1400"/>
    <w:rsid w:val="00DF2E11"/>
    <w:rsid w:val="00E02638"/>
    <w:rsid w:val="00E0270C"/>
    <w:rsid w:val="00E028C3"/>
    <w:rsid w:val="00E057B5"/>
    <w:rsid w:val="00E06F34"/>
    <w:rsid w:val="00E11CF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46E9"/>
    <w:rsid w:val="00E95BE5"/>
    <w:rsid w:val="00EA679E"/>
    <w:rsid w:val="00EA7D6A"/>
    <w:rsid w:val="00EB023A"/>
    <w:rsid w:val="00EB0CCF"/>
    <w:rsid w:val="00EC1668"/>
    <w:rsid w:val="00EC3F74"/>
    <w:rsid w:val="00EC440B"/>
    <w:rsid w:val="00EC4B86"/>
    <w:rsid w:val="00EC6461"/>
    <w:rsid w:val="00ED0479"/>
    <w:rsid w:val="00EE6C12"/>
    <w:rsid w:val="00EF39E3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98"/>
    <w:rsid w:val="00F273D8"/>
    <w:rsid w:val="00F27852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75AD9"/>
    <w:rsid w:val="00F75C97"/>
    <w:rsid w:val="00F86128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a">
    <w:name w:val="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 Знак1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pPr>
      <w:ind w:left="720"/>
      <w:jc w:val="both"/>
    </w:pPr>
    <w:rPr>
      <w:sz w:val="28"/>
    </w:rPr>
  </w:style>
  <w:style w:type="paragraph" w:styleId="ad">
    <w:name w:val="Body Text"/>
    <w:basedOn w:val="a"/>
    <w:pPr>
      <w:jc w:val="both"/>
    </w:pPr>
    <w:rPr>
      <w:szCs w:val="28"/>
    </w:rPr>
  </w:style>
  <w:style w:type="paragraph" w:styleId="20">
    <w:name w:val="Body Text Indent 2"/>
    <w:basedOn w:val="a"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qFormat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basedOn w:val="a0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 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 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basedOn w:val="a0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 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 Знак Знак2 Знак Знак"/>
    <w:basedOn w:val="a"/>
    <w:autoRedefine/>
    <w:rsid w:val="004568F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6">
    <w:name w:val="Текст новости"/>
    <w:link w:val="af7"/>
    <w:qFormat/>
    <w:rsid w:val="00BC30C6"/>
    <w:pPr>
      <w:spacing w:after="120"/>
      <w:jc w:val="both"/>
    </w:pPr>
    <w:rPr>
      <w:sz w:val="24"/>
      <w:szCs w:val="24"/>
    </w:rPr>
  </w:style>
  <w:style w:type="character" w:customStyle="1" w:styleId="af7">
    <w:name w:val="Текст новости Знак"/>
    <w:link w:val="af6"/>
    <w:rsid w:val="00BC30C6"/>
    <w:rPr>
      <w:sz w:val="24"/>
      <w:szCs w:val="24"/>
      <w:lang w:val="ru-RU" w:eastAsia="ru-RU" w:bidi="ar-SA"/>
    </w:rPr>
  </w:style>
  <w:style w:type="paragraph" w:customStyle="1" w:styleId="af8">
    <w:name w:val=" Знак Знак Знак Знак Знак Знак Знак Знак"/>
    <w:basedOn w:val="a"/>
    <w:autoRedefine/>
    <w:rsid w:val="009C45D2"/>
    <w:pPr>
      <w:spacing w:after="160" w:line="240" w:lineRule="exact"/>
    </w:pPr>
    <w:rPr>
      <w:sz w:val="28"/>
      <w:szCs w:val="28"/>
      <w:lang w:val="en-US" w:eastAsia="en-US"/>
    </w:rPr>
  </w:style>
  <w:style w:type="paragraph" w:styleId="af9">
    <w:name w:val="No Spacing"/>
    <w:qFormat/>
    <w:rsid w:val="009C45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rf.ru/branches/sverdlovsk/contac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4834</CharactersWithSpaces>
  <SharedDoc>false</SharedDoc>
  <HLinks>
    <vt:vector size="6" baseType="variant"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http://www.pfrf.ru/branches/sverdlovsk/contacts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Ровейн Галина Владимировна</cp:lastModifiedBy>
  <cp:revision>2</cp:revision>
  <cp:lastPrinted>2016-08-11T09:58:00Z</cp:lastPrinted>
  <dcterms:created xsi:type="dcterms:W3CDTF">2017-10-31T05:16:00Z</dcterms:created>
  <dcterms:modified xsi:type="dcterms:W3CDTF">2017-10-31T05:16:00Z</dcterms:modified>
</cp:coreProperties>
</file>